
<file path=[Content_Types].xml><?xml version="1.0" encoding="utf-8"?>
<Types xmlns="http://schemas.openxmlformats.org/package/2006/content-types">
  <Default ContentType="image/jpeg" Extension="jpeg"/>
  <Default ContentType="image/png" Extension="png"/>
  <Default ContentType="application/vnd.openxmlformats-package.relationships+xml" Extension="rels"/>
  <Default ContentType="application/vnd.openxmlformats-officedocument.spreadsheetml.sheet" Extension="xlsx"/>
  <Default ContentType="application/xml" Extension="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footer+xml" PartName="/word/footer1.xml"/>
  <Override ContentType="application/vnd.openxmlformats-officedocument.wordprocessingml.header+xml" PartName="/word/header1.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Types>
</file>

<file path=_rels/.rels><?xml version="1.0" encoding="UTF-8" standalone="yes"?><Relationships xmlns="http://schemas.openxmlformats.org/package/2006/relationships"><Relationship Id="rId1" Target="word/document.xml" Type="http://schemas.openxmlformats.org/officeDocument/2006/relationships/officeDocument"/><Relationship Id="rId2" Target="docProps/app.xml" Type="http://schemas.openxmlformats.org/officeDocument/2006/relationships/extended-properties"/><Relationship Id="rId3" Target="docProps/core.xml" Type="http://schemas.openxmlformats.org/package/2006/relationships/metadata/core-properties"/></Relationships>
</file>

<file path=word/document.xml><?xml version="1.0" encoding="utf-8"?>
<w:document xmlns:w="http://schemas.openxmlformats.org/wordprocessingml/2006/main" xmlns:wp="http://schemas.openxmlformats.org/drawingml/2006/wordprocessingDrawing" xmlns:r="http://schemas.openxmlformats.org/officeDocument/2006/relationships" xmlns:v="urn:schemas-microsoft-com:vml" xmlns:o="urn:schemas-microsoft-com:office:office">
  <w:body>
    <w:p>
      <w:pPr>
        <w:spacing w:before="480" w:after="480" w:line="288" w:lineRule="auto"/>
        <w:ind w:left="0"/>
      </w:pPr>
      <w:r>
        <w:rPr>
          <w:rFonts w:eastAsia="等线" w:ascii="Arial" w:cs="Arial" w:hAnsi="Arial"/>
          <w:b w:val="true"/>
          <w:sz w:val="52"/>
        </w:rPr>
        <w:t>分子送检系统需求规格书</w:t>
      </w:r>
    </w:p>
    <w:p>
      <w:pPr>
        <w:spacing w:before="120" w:after="120" w:line="288" w:lineRule="auto"/>
        <w:ind w:left="0" w:firstLine="0"/>
        <w:jc w:val="left"/>
      </w:pPr>
    </w:p>
    <w:p>
      <w:pPr>
        <w:spacing w:before="120" w:after="120" w:line="288" w:lineRule="auto"/>
        <w:ind w:left="0"/>
        <w:jc w:val="left"/>
      </w:pPr>
    </w:p>
    <w:p>
      <w:pPr>
        <w:spacing w:before="120" w:after="120" w:line="288" w:lineRule="auto"/>
        <w:ind w:left="0" w:firstLine="0"/>
        <w:jc w:val="left"/>
      </w:pPr>
    </w:p>
    <w:p>
      <w:pPr>
        <w:spacing w:before="120" w:after="120" w:line="288" w:lineRule="auto"/>
        <w:ind w:left="0" w:firstLine="0"/>
        <w:jc w:val="left"/>
      </w:pPr>
    </w:p>
    <w:p>
      <w:pPr>
        <w:spacing w:before="120" w:after="120" w:line="288" w:lineRule="auto"/>
        <w:ind w:left="0" w:firstLine="0"/>
        <w:jc w:val="left"/>
      </w:pPr>
    </w:p>
    <w:p>
      <w:pPr>
        <w:spacing w:before="120" w:after="120" w:line="288" w:lineRule="auto"/>
        <w:ind w:left="0" w:firstLine="0"/>
        <w:jc w:val="center"/>
      </w:pPr>
      <w:r>
        <w:rPr>
          <w:rFonts w:eastAsia="等线" w:ascii="Arial" w:cs="Arial" w:hAnsi="Arial"/>
          <w:sz w:val="22"/>
        </w:rPr>
        <w:t>分子送检系统</w:t>
      </w:r>
    </w:p>
    <w:p>
      <w:pPr>
        <w:spacing w:before="120" w:after="120" w:line="288" w:lineRule="auto"/>
        <w:ind w:left="0" w:firstLine="0"/>
        <w:jc w:val="center"/>
      </w:pPr>
      <w:r>
        <w:rPr>
          <w:rFonts w:eastAsia="等线" w:ascii="Arial" w:cs="Arial" w:hAnsi="Arial"/>
          <w:sz w:val="22"/>
        </w:rPr>
        <w:t>需求规格说明书</w:t>
      </w:r>
    </w:p>
    <w:p>
      <w:pPr>
        <w:spacing w:before="120" w:after="120" w:line="288" w:lineRule="auto"/>
        <w:ind w:left="0" w:firstLine="0"/>
        <w:jc w:val="center"/>
      </w:pPr>
      <w:r>
        <w:rPr>
          <w:rFonts w:eastAsia="等线" w:ascii="Arial" w:cs="Arial" w:hAnsi="Arial"/>
          <w:sz w:val="22"/>
        </w:rPr>
        <w:t>（版本号）</w:t>
      </w:r>
    </w:p>
    <w:tbl>
      <w:tblPr>
        <w:tblW w:w="0" w:type="auto"/>
        <w:tblInd w:w="0" w:type="dxa"/>
        <w:tblBorders>
          <w:top w:val="single" w:color="dee0e3"/>
          <w:left w:val="single" w:color="dee0e3"/>
          <w:bottom w:val="single" w:color="dee0e3"/>
          <w:right w:val="single" w:color="dee0e3"/>
          <w:insideH w:val="single" w:color="dee0e3"/>
          <w:insideV w:val="single" w:color="dee0e3"/>
        </w:tblBorders>
        <w:tblLayout w:type="fixed"/>
      </w:tblPr>
      <w:tblGrid>
        <w:gridCol w:w="930"/>
        <w:gridCol w:w="1740"/>
        <w:gridCol w:w="930"/>
        <w:gridCol w:w="1680"/>
        <w:gridCol w:w="930"/>
        <w:gridCol w:w="2055"/>
      </w:tblGrid>
      <w:tr>
        <w:tc>
          <w:tcPr>
            <w:tcW w:w="8265" w:type="dxa"/>
            <w:hMerge w:val="restart"/>
            <w:tcMar>
              <w:top w:type="dxa" w:w="60"/>
              <w:left w:type="dxa" w:w="120"/>
              <w:bottom w:type="dxa" w:w="30"/>
              <w:right w:type="dxa" w:w="120"/>
            </w:tcMar>
          </w:tcPr>
          <w:p>
            <w:pPr>
              <w:spacing w:before="120" w:after="120" w:line="288" w:lineRule="auto"/>
              <w:ind w:left="0"/>
              <w:jc w:val="center"/>
            </w:pPr>
            <w:r>
              <w:rPr>
                <w:rFonts w:eastAsia="等线" w:ascii="Arial" w:cs="Arial" w:hAnsi="Arial"/>
                <w:b w:val="true"/>
                <w:sz w:val="22"/>
              </w:rPr>
              <w:t>优云智能医疗科技有限公司</w:t>
            </w:r>
          </w:p>
        </w:tc>
        <w:tc>
          <w:tcPr>
            <w:tcW w:w="1740" w:type="dxa"/>
            <w:hMerge w:val="continue"/>
            <w:tcMar>
              <w:top w:type="dxa" w:w="60"/>
              <w:left w:type="dxa" w:w="120"/>
              <w:bottom w:type="dxa" w:w="30"/>
              <w:right w:type="dxa" w:w="120"/>
            </w:tcMar>
          </w:tcPr>
          <w:p>
            <w:pPr>
              <w:spacing w:before="120" w:after="120" w:line="288" w:lineRule="auto"/>
              <w:ind w:left="0"/>
              <w:jc w:val="left"/>
            </w:pPr>
          </w:p>
        </w:tc>
        <w:tc>
          <w:tcPr>
            <w:tcW w:w="930" w:type="dxa"/>
            <w:hMerge w:val="continue"/>
            <w:tcMar>
              <w:top w:type="dxa" w:w="60"/>
              <w:left w:type="dxa" w:w="120"/>
              <w:bottom w:type="dxa" w:w="30"/>
              <w:right w:type="dxa" w:w="120"/>
            </w:tcMar>
          </w:tcPr>
          <w:p>
            <w:pPr>
              <w:spacing w:before="120" w:after="120" w:line="288" w:lineRule="auto"/>
              <w:ind w:left="0"/>
              <w:jc w:val="left"/>
            </w:pPr>
          </w:p>
        </w:tc>
        <w:tc>
          <w:tcPr>
            <w:tcW w:w="1680" w:type="dxa"/>
            <w:hMerge w:val="continue"/>
            <w:tcMar>
              <w:top w:type="dxa" w:w="60"/>
              <w:left w:type="dxa" w:w="120"/>
              <w:bottom w:type="dxa" w:w="30"/>
              <w:right w:type="dxa" w:w="120"/>
            </w:tcMar>
          </w:tcPr>
          <w:p>
            <w:pPr>
              <w:spacing w:before="120" w:after="120" w:line="288" w:lineRule="auto"/>
              <w:ind w:left="0"/>
              <w:jc w:val="left"/>
            </w:pPr>
          </w:p>
        </w:tc>
        <w:tc>
          <w:tcPr>
            <w:tcW w:w="930" w:type="dxa"/>
            <w:hMerge w:val="continue"/>
            <w:tcMar>
              <w:top w:type="dxa" w:w="60"/>
              <w:left w:type="dxa" w:w="120"/>
              <w:bottom w:type="dxa" w:w="30"/>
              <w:right w:type="dxa" w:w="120"/>
            </w:tcMar>
          </w:tcPr>
          <w:p>
            <w:pPr>
              <w:spacing w:before="120" w:after="120" w:line="288" w:lineRule="auto"/>
              <w:ind w:left="0"/>
              <w:jc w:val="left"/>
            </w:pPr>
          </w:p>
        </w:tc>
        <w:tc>
          <w:tcPr>
            <w:tcW w:w="2055" w:type="dxa"/>
            <w:hMerge w:val="continue"/>
            <w:tcMar>
              <w:top w:type="dxa" w:w="60"/>
              <w:left w:type="dxa" w:w="120"/>
              <w:bottom w:type="dxa" w:w="30"/>
              <w:right w:type="dxa" w:w="120"/>
            </w:tcMar>
          </w:tcPr>
          <w:p>
            <w:pPr>
              <w:spacing w:before="120" w:after="120" w:line="288" w:lineRule="auto"/>
              <w:ind w:left="0"/>
              <w:jc w:val="left"/>
            </w:pPr>
          </w:p>
        </w:tc>
      </w:tr>
      <w:tr>
        <w:tc>
          <w:tcPr>
            <w:tcW w:w="2670" w:type="dxa"/>
            <w:hMerge w:val="restart"/>
            <w:tcMar>
              <w:top w:type="dxa" w:w="60"/>
              <w:left w:type="dxa" w:w="120"/>
              <w:bottom w:type="dxa" w:w="30"/>
              <w:right w:type="dxa" w:w="120"/>
            </w:tcMar>
          </w:tcPr>
          <w:p>
            <w:pPr>
              <w:spacing w:before="120" w:after="120" w:line="288" w:lineRule="auto"/>
              <w:ind w:left="0"/>
              <w:jc w:val="center"/>
            </w:pPr>
            <w:r>
              <w:rPr>
                <w:rFonts w:eastAsia="等线" w:ascii="Arial" w:cs="Arial" w:hAnsi="Arial"/>
                <w:sz w:val="22"/>
              </w:rPr>
              <w:t>编制</w:t>
            </w:r>
          </w:p>
        </w:tc>
        <w:tc>
          <w:tcPr>
            <w:tcW w:w="1740" w:type="dxa"/>
            <w:hMerge w:val="continue"/>
            <w:tcMar>
              <w:top w:type="dxa" w:w="60"/>
              <w:left w:type="dxa" w:w="120"/>
              <w:bottom w:type="dxa" w:w="30"/>
              <w:right w:type="dxa" w:w="120"/>
            </w:tcMar>
          </w:tcPr>
          <w:p>
            <w:pPr>
              <w:spacing w:before="120" w:after="120" w:line="288" w:lineRule="auto"/>
              <w:ind w:left="0"/>
              <w:jc w:val="left"/>
            </w:pPr>
          </w:p>
        </w:tc>
        <w:tc>
          <w:tcPr>
            <w:tcW w:w="2610" w:type="dxa"/>
            <w:hMerge w:val="restart"/>
            <w:tcMar>
              <w:top w:type="dxa" w:w="60"/>
              <w:left w:type="dxa" w:w="120"/>
              <w:bottom w:type="dxa" w:w="30"/>
              <w:right w:type="dxa" w:w="120"/>
            </w:tcMar>
          </w:tcPr>
          <w:p>
            <w:pPr>
              <w:spacing w:before="120" w:after="120" w:line="288" w:lineRule="auto"/>
              <w:ind w:left="0"/>
              <w:jc w:val="center"/>
            </w:pPr>
            <w:r>
              <w:rPr>
                <w:rFonts w:eastAsia="等线" w:ascii="Arial" w:cs="Arial" w:hAnsi="Arial"/>
                <w:sz w:val="22"/>
              </w:rPr>
              <w:t>审核</w:t>
            </w:r>
          </w:p>
        </w:tc>
        <w:tc>
          <w:tcPr>
            <w:tcW w:w="1680" w:type="dxa"/>
            <w:hMerge w:val="continue"/>
            <w:tcMar>
              <w:top w:type="dxa" w:w="60"/>
              <w:left w:type="dxa" w:w="120"/>
              <w:bottom w:type="dxa" w:w="30"/>
              <w:right w:type="dxa" w:w="120"/>
            </w:tcMar>
          </w:tcPr>
          <w:p>
            <w:pPr>
              <w:spacing w:before="120" w:after="120" w:line="288" w:lineRule="auto"/>
              <w:ind w:left="0"/>
              <w:jc w:val="left"/>
            </w:pPr>
          </w:p>
        </w:tc>
        <w:tc>
          <w:tcPr>
            <w:tcW w:w="2985" w:type="dxa"/>
            <w:hMerge w:val="restart"/>
            <w:tcMar>
              <w:top w:type="dxa" w:w="60"/>
              <w:left w:type="dxa" w:w="120"/>
              <w:bottom w:type="dxa" w:w="30"/>
              <w:right w:type="dxa" w:w="120"/>
            </w:tcMar>
          </w:tcPr>
          <w:p>
            <w:pPr>
              <w:spacing w:before="120" w:after="120" w:line="288" w:lineRule="auto"/>
              <w:ind w:left="0"/>
              <w:jc w:val="center"/>
            </w:pPr>
            <w:r>
              <w:rPr>
                <w:rFonts w:eastAsia="等线" w:ascii="Arial" w:cs="Arial" w:hAnsi="Arial"/>
                <w:sz w:val="22"/>
              </w:rPr>
              <w:t>批准</w:t>
            </w:r>
          </w:p>
        </w:tc>
        <w:tc>
          <w:tcPr>
            <w:tcW w:w="2055" w:type="dxa"/>
            <w:hMerge w:val="continue"/>
            <w:tcMar>
              <w:top w:type="dxa" w:w="60"/>
              <w:left w:type="dxa" w:w="120"/>
              <w:bottom w:type="dxa" w:w="30"/>
              <w:right w:type="dxa" w:w="120"/>
            </w:tcMar>
          </w:tcPr>
          <w:p>
            <w:pPr>
              <w:spacing w:before="120" w:after="120" w:line="288" w:lineRule="auto"/>
              <w:ind w:left="0"/>
              <w:jc w:val="left"/>
            </w:pPr>
          </w:p>
        </w:tc>
      </w:tr>
      <w:tr>
        <w:tc>
          <w:tcPr>
            <w:tcW w:w="930" w:type="dxa"/>
            <w:tcMar>
              <w:top w:type="dxa" w:w="60"/>
              <w:left w:type="dxa" w:w="120"/>
              <w:bottom w:type="dxa" w:w="30"/>
              <w:right w:type="dxa" w:w="120"/>
            </w:tcMar>
          </w:tcPr>
          <w:p>
            <w:pPr>
              <w:spacing w:before="120" w:after="120" w:line="288" w:lineRule="auto"/>
              <w:ind w:left="0"/>
              <w:jc w:val="center"/>
            </w:pPr>
            <w:r>
              <w:rPr>
                <w:rFonts w:eastAsia="等线" w:ascii="Arial" w:cs="Arial" w:hAnsi="Arial"/>
                <w:sz w:val="22"/>
              </w:rPr>
              <w:t>姓名：</w:t>
            </w:r>
          </w:p>
        </w:tc>
        <w:tc>
          <w:tcPr>
            <w:tcW w:w="1740" w:type="dxa"/>
            <w:tcMar>
              <w:top w:type="dxa" w:w="60"/>
              <w:left w:type="dxa" w:w="120"/>
              <w:bottom w:type="dxa" w:w="30"/>
              <w:right w:type="dxa" w:w="120"/>
            </w:tcMar>
          </w:tcPr>
          <w:p>
            <w:pPr>
              <w:spacing w:before="120" w:after="120" w:line="288" w:lineRule="auto"/>
              <w:ind w:left="0"/>
              <w:jc w:val="center"/>
            </w:pPr>
            <w:r>
              <w:rPr>
                <w:rFonts w:eastAsia="等线" w:ascii="Arial" w:cs="Arial" w:hAnsi="Arial"/>
                <w:sz w:val="22"/>
              </w:rPr>
              <w:t>赵光飞、吴诗豪</w:t>
            </w:r>
          </w:p>
        </w:tc>
        <w:tc>
          <w:tcPr>
            <w:tcW w:w="930" w:type="dxa"/>
            <w:tcMar>
              <w:top w:type="dxa" w:w="60"/>
              <w:left w:type="dxa" w:w="120"/>
              <w:bottom w:type="dxa" w:w="30"/>
              <w:right w:type="dxa" w:w="120"/>
            </w:tcMar>
          </w:tcPr>
          <w:p>
            <w:pPr>
              <w:spacing w:before="120" w:after="120" w:line="288" w:lineRule="auto"/>
              <w:ind w:left="0"/>
              <w:jc w:val="center"/>
            </w:pPr>
            <w:r>
              <w:rPr>
                <w:rFonts w:eastAsia="等线" w:ascii="Arial" w:cs="Arial" w:hAnsi="Arial"/>
                <w:sz w:val="22"/>
              </w:rPr>
              <w:t>姓名：</w:t>
            </w:r>
          </w:p>
        </w:tc>
        <w:tc>
          <w:tcPr>
            <w:tcW w:w="168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史骏</w:t>
            </w:r>
          </w:p>
        </w:tc>
        <w:tc>
          <w:tcPr>
            <w:tcW w:w="930" w:type="dxa"/>
            <w:tcMar>
              <w:top w:type="dxa" w:w="60"/>
              <w:left w:type="dxa" w:w="120"/>
              <w:bottom w:type="dxa" w:w="30"/>
              <w:right w:type="dxa" w:w="120"/>
            </w:tcMar>
          </w:tcPr>
          <w:p>
            <w:pPr>
              <w:spacing w:before="120" w:after="120" w:line="288" w:lineRule="auto"/>
              <w:ind w:left="0"/>
              <w:jc w:val="center"/>
            </w:pPr>
            <w:r>
              <w:rPr>
                <w:rFonts w:eastAsia="等线" w:ascii="Arial" w:cs="Arial" w:hAnsi="Arial"/>
                <w:sz w:val="22"/>
              </w:rPr>
              <w:t>姓名：</w:t>
            </w:r>
          </w:p>
        </w:tc>
        <w:tc>
          <w:tcPr>
            <w:tcW w:w="2055" w:type="dxa"/>
            <w:tcMar>
              <w:top w:type="dxa" w:w="60"/>
              <w:left w:type="dxa" w:w="120"/>
              <w:bottom w:type="dxa" w:w="30"/>
              <w:right w:type="dxa" w:w="120"/>
            </w:tcMar>
          </w:tcPr>
          <w:p>
            <w:pPr>
              <w:spacing w:before="120" w:after="120" w:line="288" w:lineRule="auto"/>
              <w:ind w:left="0"/>
              <w:jc w:val="left"/>
            </w:pPr>
          </w:p>
        </w:tc>
      </w:tr>
      <w:tr>
        <w:tc>
          <w:tcPr>
            <w:tcW w:w="930" w:type="dxa"/>
            <w:tcMar>
              <w:top w:type="dxa" w:w="60"/>
              <w:left w:type="dxa" w:w="120"/>
              <w:bottom w:type="dxa" w:w="30"/>
              <w:right w:type="dxa" w:w="120"/>
            </w:tcMar>
          </w:tcPr>
          <w:p>
            <w:pPr>
              <w:spacing w:before="120" w:after="120" w:line="288" w:lineRule="auto"/>
              <w:ind w:left="0"/>
              <w:jc w:val="center"/>
            </w:pPr>
            <w:r>
              <w:rPr>
                <w:rFonts w:eastAsia="等线" w:ascii="Arial" w:cs="Arial" w:hAnsi="Arial"/>
                <w:sz w:val="22"/>
              </w:rPr>
              <w:t>日期：</w:t>
            </w:r>
          </w:p>
        </w:tc>
        <w:tc>
          <w:tcPr>
            <w:tcW w:w="1740" w:type="dxa"/>
            <w:tcMar>
              <w:top w:type="dxa" w:w="60"/>
              <w:left w:type="dxa" w:w="120"/>
              <w:bottom w:type="dxa" w:w="30"/>
              <w:right w:type="dxa" w:w="120"/>
            </w:tcMar>
          </w:tcPr>
          <w:p>
            <w:pPr>
              <w:spacing w:before="120" w:after="120" w:line="288" w:lineRule="auto"/>
              <w:ind w:left="0"/>
              <w:jc w:val="center"/>
            </w:pPr>
            <w:r>
              <w:rPr>
                <w:rFonts w:eastAsia="等线" w:ascii="Arial" w:cs="Arial" w:hAnsi="Arial"/>
                <w:sz w:val="22"/>
              </w:rPr>
              <w:t>2025/4/21</w:t>
            </w:r>
          </w:p>
        </w:tc>
        <w:tc>
          <w:tcPr>
            <w:tcW w:w="930" w:type="dxa"/>
            <w:tcMar>
              <w:top w:type="dxa" w:w="60"/>
              <w:left w:type="dxa" w:w="120"/>
              <w:bottom w:type="dxa" w:w="30"/>
              <w:right w:type="dxa" w:w="120"/>
            </w:tcMar>
          </w:tcPr>
          <w:p>
            <w:pPr>
              <w:spacing w:before="120" w:after="120" w:line="288" w:lineRule="auto"/>
              <w:ind w:left="0"/>
              <w:jc w:val="center"/>
            </w:pPr>
            <w:r>
              <w:rPr>
                <w:rFonts w:eastAsia="等线" w:ascii="Arial" w:cs="Arial" w:hAnsi="Arial"/>
                <w:sz w:val="22"/>
              </w:rPr>
              <w:t>日期：</w:t>
            </w:r>
          </w:p>
        </w:tc>
        <w:tc>
          <w:tcPr>
            <w:tcW w:w="168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2025/4/25</w:t>
            </w:r>
          </w:p>
        </w:tc>
        <w:tc>
          <w:tcPr>
            <w:tcW w:w="930" w:type="dxa"/>
            <w:tcMar>
              <w:top w:type="dxa" w:w="60"/>
              <w:left w:type="dxa" w:w="120"/>
              <w:bottom w:type="dxa" w:w="30"/>
              <w:right w:type="dxa" w:w="120"/>
            </w:tcMar>
          </w:tcPr>
          <w:p>
            <w:pPr>
              <w:spacing w:before="120" w:after="120" w:line="288" w:lineRule="auto"/>
              <w:ind w:left="0"/>
              <w:jc w:val="center"/>
            </w:pPr>
            <w:r>
              <w:rPr>
                <w:rFonts w:eastAsia="等线" w:ascii="Arial" w:cs="Arial" w:hAnsi="Arial"/>
                <w:sz w:val="22"/>
              </w:rPr>
              <w:t>日期：</w:t>
            </w:r>
          </w:p>
        </w:tc>
        <w:tc>
          <w:tcPr>
            <w:tcW w:w="2055" w:type="dxa"/>
            <w:tcMar>
              <w:top w:type="dxa" w:w="60"/>
              <w:left w:type="dxa" w:w="120"/>
              <w:bottom w:type="dxa" w:w="30"/>
              <w:right w:type="dxa" w:w="120"/>
            </w:tcMar>
          </w:tcPr>
          <w:p>
            <w:pPr>
              <w:spacing w:before="120" w:after="120" w:line="288" w:lineRule="auto"/>
              <w:ind w:left="0"/>
              <w:jc w:val="left"/>
            </w:pPr>
          </w:p>
        </w:tc>
      </w:tr>
      <w:tr>
        <w:tc>
          <w:tcPr>
            <w:tcW w:w="930" w:type="dxa"/>
            <w:tcMar>
              <w:top w:type="dxa" w:w="60"/>
              <w:left w:type="dxa" w:w="120"/>
              <w:bottom w:type="dxa" w:w="30"/>
              <w:right w:type="dxa" w:w="120"/>
            </w:tcMar>
          </w:tcPr>
          <w:p>
            <w:pPr>
              <w:spacing w:before="120" w:after="120" w:line="288" w:lineRule="auto"/>
              <w:ind w:left="0"/>
              <w:jc w:val="center"/>
            </w:pPr>
            <w:r>
              <w:rPr>
                <w:rFonts w:eastAsia="等线" w:ascii="Arial" w:cs="Arial" w:hAnsi="Arial"/>
                <w:sz w:val="22"/>
              </w:rPr>
              <w:t>签署：</w:t>
            </w:r>
          </w:p>
        </w:tc>
        <w:tc>
          <w:tcPr>
            <w:tcW w:w="1740" w:type="dxa"/>
            <w:tcMar>
              <w:top w:type="dxa" w:w="60"/>
              <w:left w:type="dxa" w:w="120"/>
              <w:bottom w:type="dxa" w:w="30"/>
              <w:right w:type="dxa" w:w="120"/>
            </w:tcMar>
          </w:tcPr>
          <w:p>
            <w:pPr>
              <w:spacing w:before="120" w:after="120" w:line="288" w:lineRule="auto"/>
              <w:ind w:left="0"/>
              <w:jc w:val="left"/>
            </w:pPr>
          </w:p>
        </w:tc>
        <w:tc>
          <w:tcPr>
            <w:tcW w:w="930" w:type="dxa"/>
            <w:tcMar>
              <w:top w:type="dxa" w:w="60"/>
              <w:left w:type="dxa" w:w="120"/>
              <w:bottom w:type="dxa" w:w="30"/>
              <w:right w:type="dxa" w:w="120"/>
            </w:tcMar>
          </w:tcPr>
          <w:p>
            <w:pPr>
              <w:spacing w:before="120" w:after="120" w:line="288" w:lineRule="auto"/>
              <w:ind w:left="0"/>
              <w:jc w:val="center"/>
            </w:pPr>
            <w:r>
              <w:rPr>
                <w:rFonts w:eastAsia="等线" w:ascii="Arial" w:cs="Arial" w:hAnsi="Arial"/>
                <w:sz w:val="22"/>
              </w:rPr>
              <w:t>签署：</w:t>
            </w:r>
          </w:p>
        </w:tc>
        <w:tc>
          <w:tcPr>
            <w:tcW w:w="1680" w:type="dxa"/>
            <w:tcMar>
              <w:top w:type="dxa" w:w="60"/>
              <w:left w:type="dxa" w:w="120"/>
              <w:bottom w:type="dxa" w:w="30"/>
              <w:right w:type="dxa" w:w="120"/>
            </w:tcMar>
          </w:tcPr>
          <w:p>
            <w:pPr>
              <w:spacing w:before="120" w:after="120" w:line="288" w:lineRule="auto"/>
              <w:ind w:left="0"/>
              <w:jc w:val="left"/>
            </w:pPr>
          </w:p>
        </w:tc>
        <w:tc>
          <w:tcPr>
            <w:tcW w:w="930" w:type="dxa"/>
            <w:tcMar>
              <w:top w:type="dxa" w:w="60"/>
              <w:left w:type="dxa" w:w="120"/>
              <w:bottom w:type="dxa" w:w="30"/>
              <w:right w:type="dxa" w:w="120"/>
            </w:tcMar>
          </w:tcPr>
          <w:p>
            <w:pPr>
              <w:spacing w:before="120" w:after="120" w:line="288" w:lineRule="auto"/>
              <w:ind w:left="0"/>
              <w:jc w:val="center"/>
            </w:pPr>
            <w:r>
              <w:rPr>
                <w:rFonts w:eastAsia="等线" w:ascii="Arial" w:cs="Arial" w:hAnsi="Arial"/>
                <w:sz w:val="22"/>
              </w:rPr>
              <w:t>签署：</w:t>
            </w:r>
          </w:p>
        </w:tc>
        <w:tc>
          <w:tcPr>
            <w:tcW w:w="2055" w:type="dxa"/>
            <w:tcMar>
              <w:top w:type="dxa" w:w="60"/>
              <w:left w:type="dxa" w:w="120"/>
              <w:bottom w:type="dxa" w:w="30"/>
              <w:right w:type="dxa" w:w="120"/>
            </w:tcMar>
          </w:tcPr>
          <w:p>
            <w:pPr>
              <w:spacing w:before="120" w:after="120" w:line="288" w:lineRule="auto"/>
              <w:ind w:left="0"/>
              <w:jc w:val="left"/>
            </w:pPr>
          </w:p>
        </w:tc>
      </w:tr>
    </w:tbl>
    <w:p>
      <w:pPr>
        <w:spacing w:before="120" w:after="120" w:line="288" w:lineRule="auto"/>
        <w:ind w:left="0" w:firstLine="0"/>
        <w:jc w:val="left"/>
      </w:pPr>
    </w:p>
    <w:p>
      <w:pPr>
        <w:pBdr>
          <w:bottom w:val="single" w:color="dee0e3"/>
          <w:between w:val="single" w:color="dee0e3"/>
        </w:pBdr>
        <w:spacing w:before="120" w:after="120" w:line="288" w:lineRule="auto"/>
        <w:ind w:left="0"/>
      </w:pPr>
    </w:p>
    <w:p>
      <w:pPr>
        <w:spacing w:before="120" w:after="120" w:line="288" w:lineRule="auto"/>
        <w:ind w:left="0" w:firstLine="0"/>
        <w:jc w:val="left"/>
      </w:pPr>
      <w:r>
        <w:rPr>
          <w:rFonts w:eastAsia="等线" w:ascii="Arial" w:cs="Arial" w:hAnsi="Arial"/>
          <w:b w:val="true"/>
          <w:sz w:val="22"/>
        </w:rPr>
        <w:t>修订记录</w:t>
      </w:r>
    </w:p>
    <w:tbl>
      <w:tblPr>
        <w:tblW w:w="0" w:type="auto"/>
        <w:tblInd w:w="0" w:type="dxa"/>
        <w:tblBorders>
          <w:top w:val="single" w:color="dee0e3"/>
          <w:left w:val="single" w:color="dee0e3"/>
          <w:bottom w:val="single" w:color="dee0e3"/>
          <w:right w:val="single" w:color="dee0e3"/>
          <w:insideH w:val="single" w:color="dee0e3"/>
          <w:insideV w:val="single" w:color="dee0e3"/>
        </w:tblBorders>
        <w:tblLayout w:type="fixed"/>
      </w:tblPr>
      <w:tblGrid>
        <w:gridCol w:w="990"/>
        <w:gridCol w:w="1275"/>
        <w:gridCol w:w="1410"/>
        <w:gridCol w:w="4605"/>
      </w:tblGrid>
      <w:tr>
        <w:tc>
          <w:tcPr>
            <w:tcW w:w="990" w:type="dxa"/>
            <w:tcMar>
              <w:top w:type="dxa" w:w="60"/>
              <w:left w:type="dxa" w:w="120"/>
              <w:bottom w:type="dxa" w:w="30"/>
              <w:right w:type="dxa" w:w="120"/>
            </w:tcMar>
          </w:tcPr>
          <w:p>
            <w:pPr>
              <w:spacing w:before="120" w:after="120" w:line="288" w:lineRule="auto"/>
              <w:ind w:left="0"/>
              <w:jc w:val="left"/>
            </w:pPr>
            <w:r>
              <w:rPr>
                <w:rFonts w:eastAsia="等线" w:ascii="Arial" w:cs="Arial" w:hAnsi="Arial"/>
                <w:color w:val="8f959e"/>
                <w:sz w:val="22"/>
              </w:rPr>
              <w:t>版本</w:t>
            </w:r>
          </w:p>
        </w:tc>
        <w:tc>
          <w:tcPr>
            <w:tcW w:w="1275" w:type="dxa"/>
            <w:tcMar>
              <w:top w:type="dxa" w:w="60"/>
              <w:left w:type="dxa" w:w="120"/>
              <w:bottom w:type="dxa" w:w="30"/>
              <w:right w:type="dxa" w:w="120"/>
            </w:tcMar>
          </w:tcPr>
          <w:p>
            <w:pPr>
              <w:spacing w:before="120" w:after="120" w:line="288" w:lineRule="auto"/>
              <w:ind w:left="0"/>
              <w:jc w:val="left"/>
            </w:pPr>
            <w:r>
              <w:rPr>
                <w:rFonts w:eastAsia="等线" w:ascii="Arial" w:cs="Arial" w:hAnsi="Arial"/>
                <w:color w:val="8f959e"/>
                <w:sz w:val="22"/>
              </w:rPr>
              <w:t>日期</w:t>
            </w:r>
          </w:p>
        </w:tc>
        <w:tc>
          <w:tcPr>
            <w:tcW w:w="1410" w:type="dxa"/>
            <w:tcMar>
              <w:top w:type="dxa" w:w="60"/>
              <w:left w:type="dxa" w:w="120"/>
              <w:bottom w:type="dxa" w:w="30"/>
              <w:right w:type="dxa" w:w="120"/>
            </w:tcMar>
          </w:tcPr>
          <w:p>
            <w:pPr>
              <w:spacing w:before="120" w:after="120" w:line="288" w:lineRule="auto"/>
              <w:ind w:left="0"/>
              <w:jc w:val="left"/>
            </w:pPr>
            <w:r>
              <w:rPr>
                <w:rFonts w:eastAsia="等线" w:ascii="Arial" w:cs="Arial" w:hAnsi="Arial"/>
                <w:color w:val="8f959e"/>
                <w:sz w:val="22"/>
              </w:rPr>
              <w:t>作者</w:t>
            </w:r>
          </w:p>
        </w:tc>
        <w:tc>
          <w:tcPr>
            <w:tcW w:w="4605" w:type="dxa"/>
            <w:tcMar>
              <w:top w:type="dxa" w:w="60"/>
              <w:left w:type="dxa" w:w="120"/>
              <w:bottom w:type="dxa" w:w="30"/>
              <w:right w:type="dxa" w:w="120"/>
            </w:tcMar>
          </w:tcPr>
          <w:p>
            <w:pPr>
              <w:spacing w:before="120" w:after="120" w:line="288" w:lineRule="auto"/>
              <w:ind w:left="0"/>
              <w:jc w:val="left"/>
            </w:pPr>
            <w:r>
              <w:rPr>
                <w:rFonts w:eastAsia="等线" w:ascii="Arial" w:cs="Arial" w:hAnsi="Arial"/>
                <w:color w:val="8f959e"/>
                <w:sz w:val="22"/>
              </w:rPr>
              <w:t>内容</w:t>
            </w:r>
          </w:p>
        </w:tc>
      </w:tr>
      <w:tr>
        <w:tc>
          <w:tcPr>
            <w:tcW w:w="99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1.0</w:t>
            </w:r>
          </w:p>
        </w:tc>
        <w:tc>
          <w:tcPr>
            <w:tcW w:w="1275"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2025/4/21</w:t>
            </w:r>
          </w:p>
        </w:tc>
        <w:tc>
          <w:tcPr>
            <w:tcW w:w="141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赵光飞、吴诗豪</w:t>
            </w:r>
          </w:p>
        </w:tc>
        <w:tc>
          <w:tcPr>
            <w:tcW w:w="4605"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分子送检系统需求整理</w:t>
            </w:r>
          </w:p>
        </w:tc>
      </w:tr>
      <w:tr>
        <w:tc>
          <w:tcPr>
            <w:tcW w:w="990" w:type="dxa"/>
            <w:tcMar>
              <w:top w:type="dxa" w:w="60"/>
              <w:left w:type="dxa" w:w="120"/>
              <w:bottom w:type="dxa" w:w="30"/>
              <w:right w:type="dxa" w:w="120"/>
            </w:tcMar>
          </w:tcPr>
          <w:p>
            <w:pPr>
              <w:spacing w:before="120" w:after="120" w:line="288" w:lineRule="auto"/>
              <w:ind w:left="0"/>
              <w:jc w:val="left"/>
            </w:pPr>
          </w:p>
        </w:tc>
        <w:tc>
          <w:tcPr>
            <w:tcW w:w="1275" w:type="dxa"/>
            <w:tcMar>
              <w:top w:type="dxa" w:w="60"/>
              <w:left w:type="dxa" w:w="120"/>
              <w:bottom w:type="dxa" w:w="30"/>
              <w:right w:type="dxa" w:w="120"/>
            </w:tcMar>
          </w:tcPr>
          <w:p>
            <w:pPr>
              <w:spacing w:before="120" w:after="120" w:line="288" w:lineRule="auto"/>
              <w:ind w:left="0"/>
              <w:jc w:val="left"/>
            </w:pPr>
          </w:p>
        </w:tc>
        <w:tc>
          <w:tcPr>
            <w:tcW w:w="1410" w:type="dxa"/>
            <w:tcMar>
              <w:top w:type="dxa" w:w="60"/>
              <w:left w:type="dxa" w:w="120"/>
              <w:bottom w:type="dxa" w:w="30"/>
              <w:right w:type="dxa" w:w="120"/>
            </w:tcMar>
          </w:tcPr>
          <w:p>
            <w:pPr>
              <w:spacing w:before="120" w:after="120" w:line="288" w:lineRule="auto"/>
              <w:ind w:left="0"/>
              <w:jc w:val="left"/>
            </w:pPr>
          </w:p>
        </w:tc>
        <w:tc>
          <w:tcPr>
            <w:tcW w:w="4605" w:type="dxa"/>
            <w:tcMar>
              <w:top w:type="dxa" w:w="60"/>
              <w:left w:type="dxa" w:w="120"/>
              <w:bottom w:type="dxa" w:w="30"/>
              <w:right w:type="dxa" w:w="120"/>
            </w:tcMar>
          </w:tcPr>
          <w:p>
            <w:pPr>
              <w:spacing w:before="120" w:after="120" w:line="288" w:lineRule="auto"/>
              <w:ind w:left="0"/>
              <w:jc w:val="left"/>
            </w:pPr>
          </w:p>
        </w:tc>
      </w:tr>
      <w:tr>
        <w:tc>
          <w:tcPr>
            <w:tcW w:w="990" w:type="dxa"/>
            <w:tcMar>
              <w:top w:type="dxa" w:w="60"/>
              <w:left w:type="dxa" w:w="120"/>
              <w:bottom w:type="dxa" w:w="30"/>
              <w:right w:type="dxa" w:w="120"/>
            </w:tcMar>
          </w:tcPr>
          <w:p>
            <w:pPr>
              <w:spacing w:before="120" w:after="120" w:line="288" w:lineRule="auto"/>
              <w:ind w:left="0"/>
              <w:jc w:val="left"/>
            </w:pPr>
          </w:p>
        </w:tc>
        <w:tc>
          <w:tcPr>
            <w:tcW w:w="1275" w:type="dxa"/>
            <w:tcMar>
              <w:top w:type="dxa" w:w="60"/>
              <w:left w:type="dxa" w:w="120"/>
              <w:bottom w:type="dxa" w:w="30"/>
              <w:right w:type="dxa" w:w="120"/>
            </w:tcMar>
          </w:tcPr>
          <w:p>
            <w:pPr>
              <w:spacing w:before="120" w:after="120" w:line="288" w:lineRule="auto"/>
              <w:ind w:left="0"/>
              <w:jc w:val="left"/>
            </w:pPr>
          </w:p>
        </w:tc>
        <w:tc>
          <w:tcPr>
            <w:tcW w:w="1410" w:type="dxa"/>
            <w:tcMar>
              <w:top w:type="dxa" w:w="60"/>
              <w:left w:type="dxa" w:w="120"/>
              <w:bottom w:type="dxa" w:w="30"/>
              <w:right w:type="dxa" w:w="120"/>
            </w:tcMar>
          </w:tcPr>
          <w:p>
            <w:pPr>
              <w:spacing w:before="120" w:after="120" w:line="288" w:lineRule="auto"/>
              <w:ind w:left="0"/>
              <w:jc w:val="left"/>
            </w:pPr>
          </w:p>
        </w:tc>
        <w:tc>
          <w:tcPr>
            <w:tcW w:w="4605" w:type="dxa"/>
            <w:tcMar>
              <w:top w:type="dxa" w:w="60"/>
              <w:left w:type="dxa" w:w="120"/>
              <w:bottom w:type="dxa" w:w="30"/>
              <w:right w:type="dxa" w:w="120"/>
            </w:tcMar>
          </w:tcPr>
          <w:p>
            <w:pPr>
              <w:spacing w:before="120" w:after="120" w:line="288" w:lineRule="auto"/>
              <w:ind w:left="0"/>
              <w:jc w:val="left"/>
            </w:pPr>
          </w:p>
        </w:tc>
      </w:tr>
      <w:tr>
        <w:tc>
          <w:tcPr>
            <w:tcW w:w="990" w:type="dxa"/>
            <w:tcMar>
              <w:top w:type="dxa" w:w="60"/>
              <w:left w:type="dxa" w:w="120"/>
              <w:bottom w:type="dxa" w:w="30"/>
              <w:right w:type="dxa" w:w="120"/>
            </w:tcMar>
          </w:tcPr>
          <w:p>
            <w:pPr>
              <w:spacing w:before="120" w:after="120" w:line="288" w:lineRule="auto"/>
              <w:ind w:left="0"/>
              <w:jc w:val="left"/>
            </w:pPr>
          </w:p>
        </w:tc>
        <w:tc>
          <w:tcPr>
            <w:tcW w:w="1275" w:type="dxa"/>
            <w:tcMar>
              <w:top w:type="dxa" w:w="60"/>
              <w:left w:type="dxa" w:w="120"/>
              <w:bottom w:type="dxa" w:w="30"/>
              <w:right w:type="dxa" w:w="120"/>
            </w:tcMar>
          </w:tcPr>
          <w:p>
            <w:pPr>
              <w:spacing w:before="120" w:after="120" w:line="288" w:lineRule="auto"/>
              <w:ind w:left="0"/>
              <w:jc w:val="left"/>
            </w:pPr>
          </w:p>
        </w:tc>
        <w:tc>
          <w:tcPr>
            <w:tcW w:w="1410" w:type="dxa"/>
            <w:tcMar>
              <w:top w:type="dxa" w:w="60"/>
              <w:left w:type="dxa" w:w="120"/>
              <w:bottom w:type="dxa" w:w="30"/>
              <w:right w:type="dxa" w:w="120"/>
            </w:tcMar>
          </w:tcPr>
          <w:p>
            <w:pPr>
              <w:spacing w:before="120" w:after="120" w:line="288" w:lineRule="auto"/>
              <w:ind w:left="0"/>
              <w:jc w:val="left"/>
            </w:pPr>
          </w:p>
        </w:tc>
        <w:tc>
          <w:tcPr>
            <w:tcW w:w="4605" w:type="dxa"/>
            <w:tcMar>
              <w:top w:type="dxa" w:w="60"/>
              <w:left w:type="dxa" w:w="120"/>
              <w:bottom w:type="dxa" w:w="30"/>
              <w:right w:type="dxa" w:w="120"/>
            </w:tcMar>
          </w:tcPr>
          <w:p>
            <w:pPr>
              <w:spacing w:before="120" w:after="120" w:line="288" w:lineRule="auto"/>
              <w:ind w:left="0"/>
              <w:jc w:val="left"/>
            </w:pPr>
          </w:p>
        </w:tc>
      </w:tr>
    </w:tbl>
    <w:p>
      <w:pPr>
        <w:spacing w:before="120" w:after="120" w:line="288" w:lineRule="auto"/>
        <w:ind w:left="0" w:firstLine="0"/>
        <w:jc w:val="left"/>
      </w:pPr>
    </w:p>
    <w:p>
      <w:pPr>
        <w:pBdr>
          <w:bottom w:val="single" w:color="dee0e3"/>
          <w:between w:val="single" w:color="dee0e3"/>
        </w:pBdr>
        <w:spacing w:before="120" w:after="120" w:line="288" w:lineRule="auto"/>
        <w:ind w:left="0"/>
      </w:pPr>
    </w:p>
    <w:p>
      <w:pPr>
        <w:spacing w:before="120" w:after="120" w:line="288" w:lineRule="auto"/>
        <w:ind w:left="0"/>
        <w:jc w:val="left"/>
      </w:pPr>
    </w:p>
    <w:tbl>
      <w:tblPr>
        <w:tblW w:w="0" w:type="auto"/>
        <w:tblBorders>
          <w:top w:val="single" w:color="dee0e3"/>
          <w:left w:val="single" w:color="dee0e3"/>
          <w:bottom w:val="single" w:color="dee0e3"/>
          <w:right w:val="single" w:color="dee0e3"/>
          <w:insideH w:val="single" w:color="dee0e3"/>
          <w:insideV w:val="single" w:color="dee0e3"/>
        </w:tblBorders>
        <w:tblLayout w:type="fixed"/>
      </w:tblPr>
      <w:tr>
        <w:tc>
          <w:tcPr>
            <w:tcW w:w="8280" w:type="dxa"/>
            <w:shd w:color="auto" w:val="clear" w:fill="f5f6f7"/>
            <w:tcMar>
              <w:top w:type="dxa" w:w="120"/>
              <w:left w:type="dxa" w:w="120"/>
              <w:bottom w:type="dxa" w:w="60"/>
              <w:right w:type="dxa" w:w="120"/>
            </w:tcMar>
          </w:tcPr>
          <w:p>
            <w:pPr>
              <w:spacing w:before="120" w:after="120" w:line="288" w:lineRule="auto"/>
            </w:pPr>
            <w:hyperlink w:anchor="heading_0">
              <w:r>
                <w:rPr>
                  <w:rFonts w:eastAsia="等线" w:ascii="Arial" w:cs="Arial" w:hAnsi="Arial"/>
                  <w:b w:val="true"/>
                  <w:sz w:val="22"/>
                </w:rPr>
                <w:t>1. 引言</w:t>
              </w:r>
            </w:hyperlink>
          </w:p>
          <w:p>
            <w:pPr>
              <w:spacing w:before="120" w:after="120" w:line="288" w:lineRule="auto"/>
            </w:pPr>
            <w:hyperlink w:anchor="heading_1">
              <w:r>
                <w:rPr>
                  <w:rFonts w:eastAsia="等线" w:ascii="Arial" w:cs="Arial" w:hAnsi="Arial"/>
                  <w:b w:val="true"/>
                  <w:sz w:val="22"/>
                </w:rPr>
                <w:t xml:space="preserve">    1.1 文档目的</w:t>
              </w:r>
            </w:hyperlink>
          </w:p>
          <w:p>
            <w:pPr>
              <w:spacing w:before="120" w:after="120" w:line="288" w:lineRule="auto"/>
            </w:pPr>
            <w:hyperlink w:anchor="heading_2">
              <w:r>
                <w:rPr>
                  <w:rFonts w:eastAsia="等线" w:ascii="Arial" w:cs="Arial" w:hAnsi="Arial"/>
                  <w:b w:val="true"/>
                  <w:sz w:val="22"/>
                </w:rPr>
                <w:t xml:space="preserve">    1.2 适用范围</w:t>
              </w:r>
            </w:hyperlink>
          </w:p>
          <w:p>
            <w:pPr>
              <w:spacing w:before="120" w:after="120" w:line="288" w:lineRule="auto"/>
            </w:pPr>
            <w:hyperlink w:anchor="heading_3">
              <w:r>
                <w:rPr>
                  <w:rFonts w:eastAsia="等线" w:ascii="Arial" w:cs="Arial" w:hAnsi="Arial"/>
                  <w:b w:val="true"/>
                  <w:sz w:val="22"/>
                </w:rPr>
                <w:t xml:space="preserve">    1.3 名词解释</w:t>
              </w:r>
            </w:hyperlink>
          </w:p>
          <w:p>
            <w:pPr>
              <w:spacing w:before="120" w:after="120" w:line="288" w:lineRule="auto"/>
            </w:pPr>
            <w:hyperlink w:anchor="heading_4">
              <w:r>
                <w:rPr>
                  <w:rFonts w:eastAsia="等线" w:ascii="Arial" w:cs="Arial" w:hAnsi="Arial"/>
                  <w:b w:val="true"/>
                  <w:sz w:val="22"/>
                </w:rPr>
                <w:t xml:space="preserve">    1.4 统一异常处理</w:t>
              </w:r>
            </w:hyperlink>
          </w:p>
          <w:p>
            <w:pPr>
              <w:spacing w:before="120" w:after="120" w:line="288" w:lineRule="auto"/>
            </w:pPr>
            <w:hyperlink w:anchor="heading_5">
              <w:r>
                <w:rPr>
                  <w:rFonts w:eastAsia="等线" w:ascii="Arial" w:cs="Arial" w:hAnsi="Arial"/>
                  <w:b w:val="true"/>
                  <w:sz w:val="22"/>
                </w:rPr>
                <w:t xml:space="preserve">    1.5 统一默认规则</w:t>
              </w:r>
            </w:hyperlink>
          </w:p>
          <w:p>
            <w:pPr>
              <w:spacing w:before="120" w:after="120" w:line="288" w:lineRule="auto"/>
            </w:pPr>
            <w:hyperlink w:anchor="heading_6">
              <w:r>
                <w:rPr>
                  <w:rFonts w:eastAsia="等线" w:ascii="Arial" w:cs="Arial" w:hAnsi="Arial"/>
                  <w:b w:val="true"/>
                  <w:sz w:val="22"/>
                </w:rPr>
                <w:t>2. 项目背景</w:t>
              </w:r>
            </w:hyperlink>
          </w:p>
          <w:p>
            <w:pPr>
              <w:spacing w:before="120" w:after="120" w:line="288" w:lineRule="auto"/>
            </w:pPr>
            <w:hyperlink w:anchor="heading_7">
              <w:r>
                <w:rPr>
                  <w:rFonts w:eastAsia="等线" w:ascii="Arial" w:cs="Arial" w:hAnsi="Arial"/>
                  <w:b w:val="true"/>
                  <w:sz w:val="22"/>
                </w:rPr>
                <w:t>3. 业务流程</w:t>
              </w:r>
            </w:hyperlink>
          </w:p>
          <w:p>
            <w:pPr>
              <w:spacing w:before="120" w:after="120" w:line="288" w:lineRule="auto"/>
            </w:pPr>
            <w:hyperlink w:anchor="heading_8">
              <w:r>
                <w:rPr>
                  <w:rFonts w:eastAsia="等线" w:ascii="Arial" w:cs="Arial" w:hAnsi="Arial"/>
                  <w:b w:val="true"/>
                  <w:sz w:val="22"/>
                </w:rPr>
                <w:t xml:space="preserve">    3.1 业务受众</w:t>
              </w:r>
            </w:hyperlink>
          </w:p>
          <w:p>
            <w:pPr>
              <w:spacing w:before="120" w:after="120" w:line="288" w:lineRule="auto"/>
            </w:pPr>
            <w:hyperlink w:anchor="heading_9">
              <w:r>
                <w:rPr>
                  <w:rFonts w:eastAsia="等线" w:ascii="Arial" w:cs="Arial" w:hAnsi="Arial"/>
                  <w:b w:val="true"/>
                  <w:sz w:val="22"/>
                </w:rPr>
                <w:t xml:space="preserve">    3.2 核心流程</w:t>
              </w:r>
            </w:hyperlink>
          </w:p>
          <w:p>
            <w:pPr>
              <w:spacing w:before="120" w:after="120" w:line="288" w:lineRule="auto"/>
            </w:pPr>
            <w:hyperlink w:anchor="heading_10">
              <w:r>
                <w:rPr>
                  <w:rFonts w:eastAsia="等线" w:ascii="Arial" w:cs="Arial" w:hAnsi="Arial"/>
                  <w:b w:val="true"/>
                  <w:sz w:val="22"/>
                </w:rPr>
                <w:t>4. 功能需求</w:t>
              </w:r>
            </w:hyperlink>
          </w:p>
          <w:p>
            <w:pPr>
              <w:spacing w:before="120" w:after="120" w:line="288" w:lineRule="auto"/>
            </w:pPr>
            <w:hyperlink w:anchor="heading_11">
              <w:r>
                <w:rPr>
                  <w:rFonts w:eastAsia="等线" w:ascii="Arial" w:cs="Arial" w:hAnsi="Arial"/>
                  <w:b w:val="true"/>
                  <w:sz w:val="22"/>
                </w:rPr>
                <w:t xml:space="preserve">    4.1 申请单管理</w:t>
              </w:r>
            </w:hyperlink>
          </w:p>
          <w:p>
            <w:pPr>
              <w:spacing w:before="120" w:after="120" w:line="288" w:lineRule="auto"/>
            </w:pPr>
            <w:hyperlink w:anchor="heading_12">
              <w:r>
                <w:rPr>
                  <w:rFonts w:eastAsia="等线" w:ascii="Arial" w:cs="Arial" w:hAnsi="Arial"/>
                  <w:b w:val="true"/>
                  <w:sz w:val="22"/>
                </w:rPr>
                <w:t xml:space="preserve">        4.1.1 申请单基础信息</w:t>
              </w:r>
            </w:hyperlink>
          </w:p>
          <w:p>
            <w:pPr>
              <w:spacing w:before="120" w:after="120" w:line="288" w:lineRule="auto"/>
            </w:pPr>
            <w:hyperlink w:anchor="heading_13">
              <w:r>
                <w:rPr>
                  <w:rFonts w:eastAsia="等线" w:ascii="Arial" w:cs="Arial" w:hAnsi="Arial"/>
                  <w:b w:val="true"/>
                  <w:sz w:val="22"/>
                </w:rPr>
                <w:t xml:space="preserve">        4.1.2 检测项目</w:t>
              </w:r>
            </w:hyperlink>
          </w:p>
          <w:p>
            <w:pPr>
              <w:spacing w:before="120" w:after="120" w:line="288" w:lineRule="auto"/>
            </w:pPr>
            <w:hyperlink w:anchor="heading_14">
              <w:r>
                <w:rPr>
                  <w:rFonts w:eastAsia="等线" w:ascii="Arial" w:cs="Arial" w:hAnsi="Arial"/>
                  <w:b w:val="true"/>
                  <w:sz w:val="22"/>
                </w:rPr>
                <w:t xml:space="preserve">        4.1.3 附加信息/材料</w:t>
              </w:r>
            </w:hyperlink>
          </w:p>
          <w:p>
            <w:pPr>
              <w:spacing w:before="120" w:after="120" w:line="288" w:lineRule="auto"/>
            </w:pPr>
            <w:hyperlink w:anchor="heading_15">
              <w:r>
                <w:rPr>
                  <w:rFonts w:eastAsia="等线" w:ascii="Arial" w:cs="Arial" w:hAnsi="Arial"/>
                  <w:b w:val="true"/>
                  <w:sz w:val="22"/>
                </w:rPr>
                <w:t xml:space="preserve">        4.1.4 审核申请信息</w:t>
              </w:r>
            </w:hyperlink>
          </w:p>
          <w:p>
            <w:pPr>
              <w:spacing w:before="120" w:after="120" w:line="288" w:lineRule="auto"/>
            </w:pPr>
            <w:hyperlink w:anchor="heading_16">
              <w:r>
                <w:rPr>
                  <w:rFonts w:eastAsia="等线" w:ascii="Arial" w:cs="Arial" w:hAnsi="Arial"/>
                  <w:b w:val="true"/>
                  <w:sz w:val="22"/>
                </w:rPr>
                <w:t xml:space="preserve">        4.1.5 申请单详情</w:t>
              </w:r>
            </w:hyperlink>
          </w:p>
          <w:p>
            <w:pPr>
              <w:spacing w:before="120" w:after="120" w:line="288" w:lineRule="auto"/>
            </w:pPr>
            <w:hyperlink w:anchor="heading_17">
              <w:r>
                <w:rPr>
                  <w:rFonts w:eastAsia="等线" w:ascii="Arial" w:cs="Arial" w:hAnsi="Arial"/>
                  <w:b w:val="true"/>
                  <w:sz w:val="22"/>
                </w:rPr>
                <w:t xml:space="preserve">        4.1.6 申请单流程记录</w:t>
              </w:r>
            </w:hyperlink>
          </w:p>
          <w:p>
            <w:pPr>
              <w:spacing w:before="120" w:after="120" w:line="288" w:lineRule="auto"/>
            </w:pPr>
            <w:hyperlink w:anchor="heading_18">
              <w:r>
                <w:rPr>
                  <w:rFonts w:eastAsia="等线" w:ascii="Arial" w:cs="Arial" w:hAnsi="Arial"/>
                  <w:b w:val="true"/>
                  <w:sz w:val="22"/>
                </w:rPr>
                <w:t xml:space="preserve">    4.2 标本验收</w:t>
              </w:r>
            </w:hyperlink>
          </w:p>
          <w:p>
            <w:pPr>
              <w:spacing w:before="120" w:after="120" w:line="288" w:lineRule="auto"/>
            </w:pPr>
            <w:hyperlink w:anchor="heading_19">
              <w:r>
                <w:rPr>
                  <w:rFonts w:eastAsia="等线" w:ascii="Arial" w:cs="Arial" w:hAnsi="Arial"/>
                  <w:b w:val="true"/>
                  <w:sz w:val="22"/>
                </w:rPr>
                <w:t xml:space="preserve">        4.2.1 样本接收审批</w:t>
              </w:r>
            </w:hyperlink>
          </w:p>
          <w:p>
            <w:pPr>
              <w:spacing w:before="120" w:after="120" w:line="288" w:lineRule="auto"/>
            </w:pPr>
            <w:hyperlink w:anchor="heading_20">
              <w:r>
                <w:rPr>
                  <w:rFonts w:eastAsia="等线" w:ascii="Arial" w:cs="Arial" w:hAnsi="Arial"/>
                  <w:b w:val="true"/>
                  <w:sz w:val="22"/>
                </w:rPr>
                <w:t xml:space="preserve">        4.2.2 质量检测</w:t>
              </w:r>
            </w:hyperlink>
          </w:p>
          <w:p>
            <w:pPr>
              <w:spacing w:before="120" w:after="120" w:line="288" w:lineRule="auto"/>
            </w:pPr>
            <w:hyperlink w:anchor="heading_21">
              <w:r>
                <w:rPr>
                  <w:rFonts w:eastAsia="等线" w:ascii="Arial" w:cs="Arial" w:hAnsi="Arial"/>
                  <w:b w:val="true"/>
                  <w:sz w:val="22"/>
                </w:rPr>
                <w:t xml:space="preserve">    4.3 物流管理</w:t>
              </w:r>
            </w:hyperlink>
          </w:p>
          <w:p>
            <w:pPr>
              <w:spacing w:before="120" w:after="120" w:line="288" w:lineRule="auto"/>
            </w:pPr>
            <w:hyperlink w:anchor="heading_22">
              <w:r>
                <w:rPr>
                  <w:rFonts w:eastAsia="等线" w:ascii="Arial" w:cs="Arial" w:hAnsi="Arial"/>
                  <w:b w:val="true"/>
                  <w:sz w:val="22"/>
                </w:rPr>
                <w:t xml:space="preserve">        4.3.1 物流信息</w:t>
              </w:r>
            </w:hyperlink>
          </w:p>
          <w:p>
            <w:pPr>
              <w:spacing w:before="120" w:after="120" w:line="288" w:lineRule="auto"/>
            </w:pPr>
            <w:hyperlink w:anchor="heading_23">
              <w:r>
                <w:rPr>
                  <w:rFonts w:eastAsia="等线" w:ascii="Arial" w:cs="Arial" w:hAnsi="Arial"/>
                  <w:b w:val="true"/>
                  <w:sz w:val="22"/>
                </w:rPr>
                <w:t xml:space="preserve">        4.3.2 物流追踪</w:t>
              </w:r>
            </w:hyperlink>
          </w:p>
          <w:p>
            <w:pPr>
              <w:spacing w:before="120" w:after="120" w:line="288" w:lineRule="auto"/>
            </w:pPr>
            <w:hyperlink w:anchor="heading_24">
              <w:r>
                <w:rPr>
                  <w:rFonts w:eastAsia="等线" w:ascii="Arial" w:cs="Arial" w:hAnsi="Arial"/>
                  <w:b w:val="true"/>
                  <w:sz w:val="22"/>
                </w:rPr>
                <w:t xml:space="preserve">        4.3.3 样本寄回</w:t>
              </w:r>
            </w:hyperlink>
          </w:p>
          <w:p>
            <w:pPr>
              <w:spacing w:before="120" w:after="120" w:line="288" w:lineRule="auto"/>
            </w:pPr>
            <w:hyperlink w:anchor="heading_25">
              <w:r>
                <w:rPr>
                  <w:rFonts w:eastAsia="等线" w:ascii="Arial" w:cs="Arial" w:hAnsi="Arial"/>
                  <w:b w:val="true"/>
                  <w:sz w:val="22"/>
                </w:rPr>
                <w:t xml:space="preserve">    4.4 诊断报告</w:t>
              </w:r>
            </w:hyperlink>
          </w:p>
          <w:p>
            <w:pPr>
              <w:spacing w:before="120" w:after="120" w:line="288" w:lineRule="auto"/>
            </w:pPr>
            <w:hyperlink w:anchor="heading_26">
              <w:r>
                <w:rPr>
                  <w:rFonts w:eastAsia="等线" w:ascii="Arial" w:cs="Arial" w:hAnsi="Arial"/>
                  <w:b w:val="true"/>
                  <w:sz w:val="22"/>
                </w:rPr>
                <w:t xml:space="preserve">        4.4.1 诊断流程</w:t>
              </w:r>
            </w:hyperlink>
          </w:p>
          <w:p>
            <w:pPr>
              <w:spacing w:before="120" w:after="120" w:line="288" w:lineRule="auto"/>
            </w:pPr>
            <w:hyperlink w:anchor="heading_27">
              <w:r>
                <w:rPr>
                  <w:rFonts w:eastAsia="等线" w:ascii="Arial" w:cs="Arial" w:hAnsi="Arial"/>
                  <w:b w:val="true"/>
                  <w:sz w:val="22"/>
                </w:rPr>
                <w:t xml:space="preserve">        4.4.2 报告上传/修改</w:t>
              </w:r>
            </w:hyperlink>
          </w:p>
          <w:p>
            <w:pPr>
              <w:spacing w:before="120" w:after="120" w:line="288" w:lineRule="auto"/>
            </w:pPr>
            <w:hyperlink w:anchor="heading_28">
              <w:r>
                <w:rPr>
                  <w:rFonts w:eastAsia="等线" w:ascii="Arial" w:cs="Arial" w:hAnsi="Arial"/>
                  <w:b w:val="true"/>
                  <w:sz w:val="22"/>
                </w:rPr>
                <w:t xml:space="preserve">        4.4.3 加检流程</w:t>
              </w:r>
            </w:hyperlink>
          </w:p>
          <w:p>
            <w:pPr>
              <w:spacing w:before="120" w:after="120" w:line="288" w:lineRule="auto"/>
            </w:pPr>
            <w:hyperlink w:anchor="heading_29">
              <w:r>
                <w:rPr>
                  <w:rFonts w:eastAsia="等线" w:ascii="Arial" w:cs="Arial" w:hAnsi="Arial"/>
                  <w:b w:val="true"/>
                  <w:sz w:val="22"/>
                </w:rPr>
                <w:t xml:space="preserve">    4.5 统计与报表</w:t>
              </w:r>
            </w:hyperlink>
          </w:p>
          <w:p>
            <w:pPr>
              <w:spacing w:before="120" w:after="120" w:line="288" w:lineRule="auto"/>
            </w:pPr>
            <w:hyperlink w:anchor="heading_30">
              <w:r>
                <w:rPr>
                  <w:rFonts w:eastAsia="等线" w:ascii="Arial" w:cs="Arial" w:hAnsi="Arial"/>
                  <w:b w:val="true"/>
                  <w:sz w:val="22"/>
                </w:rPr>
                <w:t xml:space="preserve">        4.5.1 数据看板</w:t>
              </w:r>
            </w:hyperlink>
          </w:p>
          <w:p>
            <w:pPr>
              <w:spacing w:before="120" w:after="120" w:line="288" w:lineRule="auto"/>
            </w:pPr>
            <w:hyperlink w:anchor="heading_31">
              <w:r>
                <w:rPr>
                  <w:rFonts w:eastAsia="等线" w:ascii="Arial" w:cs="Arial" w:hAnsi="Arial"/>
                  <w:b w:val="true"/>
                  <w:sz w:val="22"/>
                </w:rPr>
                <w:t xml:space="preserve">        4.5.2 统计数据</w:t>
              </w:r>
            </w:hyperlink>
          </w:p>
          <w:p>
            <w:pPr>
              <w:spacing w:before="120" w:after="120" w:line="288" w:lineRule="auto"/>
            </w:pPr>
            <w:hyperlink w:anchor="heading_32">
              <w:r>
                <w:rPr>
                  <w:rFonts w:eastAsia="等线" w:ascii="Arial" w:cs="Arial" w:hAnsi="Arial"/>
                  <w:b w:val="true"/>
                  <w:sz w:val="22"/>
                </w:rPr>
                <w:t xml:space="preserve">    4.6 消息通知</w:t>
              </w:r>
            </w:hyperlink>
          </w:p>
          <w:p>
            <w:pPr>
              <w:spacing w:before="120" w:after="120" w:line="288" w:lineRule="auto"/>
            </w:pPr>
            <w:hyperlink w:anchor="heading_33">
              <w:r>
                <w:rPr>
                  <w:rFonts w:eastAsia="等线" w:ascii="Arial" w:cs="Arial" w:hAnsi="Arial"/>
                  <w:b w:val="true"/>
                  <w:sz w:val="22"/>
                </w:rPr>
                <w:t xml:space="preserve">        4.6.1 申请提交与审核</w:t>
              </w:r>
            </w:hyperlink>
          </w:p>
          <w:p>
            <w:pPr>
              <w:spacing w:before="120" w:after="120" w:line="288" w:lineRule="auto"/>
            </w:pPr>
            <w:hyperlink w:anchor="heading_34">
              <w:r>
                <w:rPr>
                  <w:rFonts w:eastAsia="等线" w:ascii="Arial" w:cs="Arial" w:hAnsi="Arial"/>
                  <w:b w:val="true"/>
                  <w:sz w:val="22"/>
                </w:rPr>
                <w:t xml:space="preserve">        4.6.2 缴费提醒与确认</w:t>
              </w:r>
            </w:hyperlink>
          </w:p>
          <w:p>
            <w:pPr>
              <w:spacing w:before="120" w:after="120" w:line="288" w:lineRule="auto"/>
            </w:pPr>
            <w:hyperlink w:anchor="heading_35">
              <w:r>
                <w:rPr>
                  <w:rFonts w:eastAsia="等线" w:ascii="Arial" w:cs="Arial" w:hAnsi="Arial"/>
                  <w:b w:val="true"/>
                  <w:sz w:val="22"/>
                </w:rPr>
                <w:t xml:space="preserve">        4.6.3 样本接收与质控</w:t>
              </w:r>
            </w:hyperlink>
          </w:p>
          <w:p>
            <w:pPr>
              <w:spacing w:before="120" w:after="120" w:line="288" w:lineRule="auto"/>
            </w:pPr>
            <w:hyperlink w:anchor="heading_36">
              <w:r>
                <w:rPr>
                  <w:rFonts w:eastAsia="等线" w:ascii="Arial" w:cs="Arial" w:hAnsi="Arial"/>
                  <w:b w:val="true"/>
                  <w:sz w:val="22"/>
                </w:rPr>
                <w:t xml:space="preserve">        4.6.4 检测流程通知</w:t>
              </w:r>
            </w:hyperlink>
          </w:p>
          <w:p>
            <w:pPr>
              <w:spacing w:before="120" w:after="120" w:line="288" w:lineRule="auto"/>
            </w:pPr>
            <w:hyperlink w:anchor="heading_37">
              <w:r>
                <w:rPr>
                  <w:rFonts w:eastAsia="等线" w:ascii="Arial" w:cs="Arial" w:hAnsi="Arial"/>
                  <w:b w:val="true"/>
                  <w:sz w:val="22"/>
                </w:rPr>
                <w:t xml:space="preserve">        4.6.5 报告上传与查看</w:t>
              </w:r>
            </w:hyperlink>
          </w:p>
          <w:p>
            <w:pPr>
              <w:spacing w:before="120" w:after="120" w:line="288" w:lineRule="auto"/>
            </w:pPr>
            <w:hyperlink w:anchor="heading_38">
              <w:r>
                <w:rPr>
                  <w:rFonts w:eastAsia="等线" w:ascii="Arial" w:cs="Arial" w:hAnsi="Arial"/>
                  <w:b w:val="true"/>
                  <w:sz w:val="22"/>
                </w:rPr>
                <w:t xml:space="preserve">    4.7 系统管理</w:t>
              </w:r>
            </w:hyperlink>
          </w:p>
          <w:p>
            <w:pPr>
              <w:spacing w:before="120" w:after="120" w:line="288" w:lineRule="auto"/>
            </w:pPr>
            <w:hyperlink w:anchor="heading_39">
              <w:r>
                <w:rPr>
                  <w:rFonts w:eastAsia="等线" w:ascii="Arial" w:cs="Arial" w:hAnsi="Arial"/>
                  <w:b w:val="true"/>
                  <w:sz w:val="22"/>
                </w:rPr>
                <w:t xml:space="preserve">        4.7.1 检测项目配置</w:t>
              </w:r>
            </w:hyperlink>
          </w:p>
          <w:p>
            <w:pPr>
              <w:spacing w:before="120" w:after="120" w:line="288" w:lineRule="auto"/>
            </w:pPr>
            <w:hyperlink w:anchor="heading_40">
              <w:r>
                <w:rPr>
                  <w:rFonts w:eastAsia="等线" w:ascii="Arial" w:cs="Arial" w:hAnsi="Arial"/>
                  <w:b w:val="true"/>
                  <w:sz w:val="22"/>
                </w:rPr>
                <w:t xml:space="preserve">            4.7.1.1 免疫组化平台</w:t>
              </w:r>
            </w:hyperlink>
          </w:p>
          <w:p>
            <w:pPr>
              <w:spacing w:before="120" w:after="120" w:line="288" w:lineRule="auto"/>
            </w:pPr>
            <w:hyperlink w:anchor="heading_41">
              <w:r>
                <w:rPr>
                  <w:rFonts w:eastAsia="等线" w:ascii="Arial" w:cs="Arial" w:hAnsi="Arial"/>
                  <w:b w:val="true"/>
                  <w:sz w:val="22"/>
                </w:rPr>
                <w:t xml:space="preserve">            4.7.1.2 基因检测项目-按肿瘤类型分类</w:t>
              </w:r>
            </w:hyperlink>
          </w:p>
          <w:p>
            <w:pPr>
              <w:spacing w:before="120" w:after="120" w:line="288" w:lineRule="auto"/>
            </w:pPr>
            <w:hyperlink w:anchor="heading_42">
              <w:r>
                <w:rPr>
                  <w:rFonts w:eastAsia="等线" w:ascii="Arial" w:cs="Arial" w:hAnsi="Arial"/>
                  <w:b w:val="true"/>
                  <w:sz w:val="22"/>
                </w:rPr>
                <w:t xml:space="preserve">        4.7.2 基层医院配置</w:t>
              </w:r>
            </w:hyperlink>
          </w:p>
          <w:p>
            <w:pPr>
              <w:spacing w:before="120" w:after="120" w:line="288" w:lineRule="auto"/>
            </w:pPr>
            <w:hyperlink w:anchor="heading_43">
              <w:r>
                <w:rPr>
                  <w:rFonts w:eastAsia="等线" w:ascii="Arial" w:cs="Arial" w:hAnsi="Arial"/>
                  <w:b w:val="true"/>
                  <w:sz w:val="22"/>
                </w:rPr>
                <w:t xml:space="preserve">        4.7.3 用户管理</w:t>
              </w:r>
            </w:hyperlink>
          </w:p>
          <w:p>
            <w:pPr>
              <w:spacing w:before="120" w:after="120" w:line="288" w:lineRule="auto"/>
            </w:pPr>
            <w:hyperlink w:anchor="heading_44">
              <w:r>
                <w:rPr>
                  <w:rFonts w:eastAsia="等线" w:ascii="Arial" w:cs="Arial" w:hAnsi="Arial"/>
                  <w:b w:val="true"/>
                  <w:sz w:val="22"/>
                </w:rPr>
                <w:t xml:space="preserve">        4.7.4 字典管理</w:t>
              </w:r>
            </w:hyperlink>
          </w:p>
          <w:p>
            <w:pPr>
              <w:spacing w:before="120" w:after="120" w:line="288" w:lineRule="auto"/>
            </w:pPr>
            <w:hyperlink w:anchor="heading_45">
              <w:r>
                <w:rPr>
                  <w:rFonts w:eastAsia="等线" w:ascii="Arial" w:cs="Arial" w:hAnsi="Arial"/>
                  <w:b w:val="true"/>
                  <w:sz w:val="22"/>
                </w:rPr>
                <w:t xml:space="preserve">    额外文本</w:t>
              </w:r>
            </w:hyperlink>
          </w:p>
        </w:tc>
      </w:tr>
    </w:tbl>
    <w:p>
      <w:pPr>
        <w:spacing w:before="120" w:after="120" w:line="288" w:lineRule="auto"/>
        <w:ind w:left="0" w:firstLine="0"/>
        <w:jc w:val="left"/>
      </w:pPr>
    </w:p>
    <w:p>
      <w:pPr>
        <w:pBdr>
          <w:bottom w:val="single" w:color="dee0e3"/>
          <w:between w:val="single" w:color="dee0e3"/>
        </w:pBdr>
        <w:spacing w:before="120" w:after="120" w:line="288" w:lineRule="auto"/>
        <w:ind w:left="0"/>
      </w:pPr>
    </w:p>
    <w:p>
      <w:pPr>
        <w:pStyle w:val="1"/>
        <w:spacing w:before="380" w:after="140" w:line="288" w:lineRule="auto"/>
        <w:ind w:left="0"/>
        <w:jc w:val="left"/>
        <w:outlineLvl w:val="0"/>
      </w:pPr>
      <w:bookmarkStart w:name="heading_0" w:id="0"/>
      <w:r>
        <w:rPr>
          <w:rFonts w:eastAsia="等线" w:ascii="Arial" w:cs="Arial" w:hAnsi="Arial"/>
          <w:color w:val="3370ff"/>
          <w:sz w:val="36"/>
        </w:rPr>
        <w:t xml:space="preserve">1. </w:t>
      </w:r>
      <w:r>
        <w:rPr>
          <w:rFonts w:eastAsia="等线" w:ascii="Arial" w:cs="Arial" w:hAnsi="Arial"/>
          <w:b w:val="true"/>
          <w:sz w:val="36"/>
        </w:rPr>
        <w:t>引言</w:t>
      </w:r>
      <w:bookmarkEnd w:id="0"/>
    </w:p>
    <w:p>
      <w:pPr>
        <w:pStyle w:val="2"/>
        <w:spacing w:before="320" w:after="120" w:line="288" w:lineRule="auto"/>
        <w:ind w:left="453"/>
        <w:jc w:val="left"/>
        <w:outlineLvl w:val="1"/>
      </w:pPr>
      <w:bookmarkStart w:name="heading_1" w:id="1"/>
      <w:r>
        <w:rPr>
          <w:rFonts w:eastAsia="等线" w:ascii="Arial" w:cs="Arial" w:hAnsi="Arial"/>
          <w:color w:val="3370ff"/>
          <w:sz w:val="32"/>
        </w:rPr>
        <w:t xml:space="preserve">1.1 </w:t>
      </w:r>
      <w:r>
        <w:rPr>
          <w:rFonts w:eastAsia="等线" w:ascii="Arial" w:cs="Arial" w:hAnsi="Arial"/>
          <w:b w:val="true"/>
          <w:sz w:val="32"/>
        </w:rPr>
        <w:t>文档目的</w:t>
      </w:r>
      <w:bookmarkEnd w:id="1"/>
    </w:p>
    <w:p>
      <w:pPr>
        <w:spacing w:before="120" w:after="120" w:line="288" w:lineRule="auto"/>
        <w:ind w:left="453"/>
        <w:jc w:val="left"/>
      </w:pPr>
      <w:r>
        <w:rPr>
          <w:rFonts w:eastAsia="等线" w:ascii="Arial" w:cs="Arial" w:hAnsi="Arial"/>
          <w:color w:val="245bdb"/>
          <w:sz w:val="22"/>
        </w:rPr>
        <w:t>分子送检系统需求文档</w:t>
      </w:r>
    </w:p>
    <w:p>
      <w:pPr>
        <w:pStyle w:val="2"/>
        <w:spacing w:before="320" w:after="120" w:line="288" w:lineRule="auto"/>
        <w:ind w:left="0"/>
        <w:jc w:val="left"/>
        <w:outlineLvl w:val="1"/>
      </w:pPr>
      <w:bookmarkStart w:name="heading_2" w:id="2"/>
      <w:r>
        <w:rPr>
          <w:rFonts w:eastAsia="等线" w:ascii="Arial" w:cs="Arial" w:hAnsi="Arial"/>
          <w:color w:val="3370ff"/>
          <w:sz w:val="32"/>
        </w:rPr>
        <w:t xml:space="preserve">1.2 </w:t>
      </w:r>
      <w:r>
        <w:rPr>
          <w:rFonts w:eastAsia="等线" w:ascii="Arial" w:cs="Arial" w:hAnsi="Arial"/>
          <w:b w:val="true"/>
          <w:sz w:val="32"/>
        </w:rPr>
        <w:t>适用范围</w:t>
      </w:r>
      <w:bookmarkEnd w:id="2"/>
    </w:p>
    <w:p>
      <w:pPr>
        <w:spacing w:before="120" w:after="120" w:line="288" w:lineRule="auto"/>
        <w:ind w:left="0" w:firstLine="0"/>
        <w:jc w:val="left"/>
      </w:pPr>
      <w:r>
        <w:rPr>
          <w:rFonts w:eastAsia="等线" w:ascii="Arial" w:cs="Arial" w:hAnsi="Arial"/>
          <w:color w:val="245bdb"/>
          <w:sz w:val="22"/>
        </w:rPr>
        <w:t>本文档目标读者为：分子送检系统的系统设计人员</w:t>
      </w:r>
      <w:r>
        <w:rPr>
          <w:rFonts w:eastAsia="等线" w:ascii="Arial" w:cs="Arial" w:hAnsi="Arial"/>
          <w:color w:val="245bdb"/>
          <w:sz w:val="22"/>
        </w:rPr>
        <w:t>、</w:t>
      </w:r>
      <w:r>
        <w:rPr>
          <w:rFonts w:eastAsia="等线" w:ascii="Arial" w:cs="Arial" w:hAnsi="Arial"/>
          <w:color w:val="245bdb"/>
          <w:sz w:val="22"/>
        </w:rPr>
        <w:t>详细设计人员</w:t>
      </w:r>
      <w:r>
        <w:rPr>
          <w:rFonts w:eastAsia="等线" w:ascii="Arial" w:cs="Arial" w:hAnsi="Arial"/>
          <w:color w:val="245bdb"/>
          <w:sz w:val="22"/>
        </w:rPr>
        <w:t>、</w:t>
      </w:r>
      <w:r>
        <w:rPr>
          <w:rFonts w:eastAsia="等线" w:ascii="Arial" w:cs="Arial" w:hAnsi="Arial"/>
          <w:color w:val="245bdb"/>
          <w:sz w:val="22"/>
        </w:rPr>
        <w:t>开发人员</w:t>
      </w:r>
      <w:r>
        <w:rPr>
          <w:rFonts w:eastAsia="等线" w:ascii="Arial" w:cs="Arial" w:hAnsi="Arial"/>
          <w:color w:val="245bdb"/>
          <w:sz w:val="22"/>
        </w:rPr>
        <w:t>、</w:t>
      </w:r>
      <w:r>
        <w:rPr>
          <w:rFonts w:eastAsia="等线" w:ascii="Arial" w:cs="Arial" w:hAnsi="Arial"/>
          <w:color w:val="245bdb"/>
          <w:sz w:val="22"/>
        </w:rPr>
        <w:t>测试人员</w:t>
      </w:r>
      <w:r>
        <w:rPr>
          <w:rFonts w:eastAsia="等线" w:ascii="Arial" w:cs="Arial" w:hAnsi="Arial"/>
          <w:color w:val="245bdb"/>
          <w:sz w:val="22"/>
        </w:rPr>
        <w:t>、</w:t>
      </w:r>
      <w:r>
        <w:rPr>
          <w:rFonts w:eastAsia="等线" w:ascii="Arial" w:cs="Arial" w:hAnsi="Arial"/>
          <w:color w:val="245bdb"/>
          <w:sz w:val="22"/>
        </w:rPr>
        <w:t>以及项目实施的项目相关人员。</w:t>
      </w:r>
    </w:p>
    <w:p>
      <w:pPr>
        <w:pStyle w:val="2"/>
        <w:spacing w:before="320" w:after="120" w:line="288" w:lineRule="auto"/>
        <w:ind w:left="453"/>
        <w:jc w:val="left"/>
        <w:outlineLvl w:val="1"/>
      </w:pPr>
      <w:bookmarkStart w:name="heading_3" w:id="3"/>
      <w:r>
        <w:rPr>
          <w:rFonts w:eastAsia="等线" w:ascii="Arial" w:cs="Arial" w:hAnsi="Arial"/>
          <w:color w:val="3370ff"/>
          <w:sz w:val="32"/>
        </w:rPr>
        <w:t xml:space="preserve">1.3 </w:t>
      </w:r>
      <w:r>
        <w:rPr>
          <w:rFonts w:eastAsia="等线" w:ascii="Arial" w:cs="Arial" w:hAnsi="Arial"/>
          <w:b w:val="true"/>
          <w:sz w:val="32"/>
        </w:rPr>
        <w:t>名词解释</w:t>
      </w:r>
      <w:bookmarkEnd w:id="3"/>
    </w:p>
    <w:tbl>
      <w:tblPr>
        <w:tblW w:w="0" w:type="auto"/>
        <w:tblInd w:w="0" w:type="dxa"/>
        <w:tblBorders>
          <w:top w:val="single" w:color="dee0e3"/>
          <w:left w:val="single" w:color="dee0e3"/>
          <w:bottom w:val="single" w:color="dee0e3"/>
          <w:right w:val="single" w:color="dee0e3"/>
          <w:insideH w:val="single" w:color="dee0e3"/>
          <w:insideV w:val="single" w:color="dee0e3"/>
        </w:tblBorders>
        <w:tblLayout w:type="fixed"/>
      </w:tblPr>
      <w:tblGrid>
        <w:gridCol w:w="690"/>
        <w:gridCol w:w="2130"/>
        <w:gridCol w:w="5460"/>
      </w:tblGrid>
      <w:tr>
        <w:tc>
          <w:tcPr>
            <w:tcW w:w="69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序号</w:t>
            </w:r>
          </w:p>
        </w:tc>
        <w:tc>
          <w:tcPr>
            <w:tcW w:w="213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名词术语</w:t>
            </w:r>
          </w:p>
        </w:tc>
        <w:tc>
          <w:tcPr>
            <w:tcW w:w="546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名词解释</w:t>
            </w:r>
          </w:p>
        </w:tc>
      </w:tr>
      <w:tr>
        <w:tc>
          <w:tcPr>
            <w:tcW w:w="690" w:type="dxa"/>
            <w:tcMar>
              <w:top w:type="dxa" w:w="60"/>
              <w:left w:type="dxa" w:w="120"/>
              <w:bottom w:type="dxa" w:w="30"/>
              <w:right w:type="dxa" w:w="120"/>
            </w:tcMar>
          </w:tcPr>
          <w:p>
            <w:pPr>
              <w:spacing w:before="120" w:after="120" w:line="288" w:lineRule="auto"/>
              <w:ind w:left="0"/>
              <w:jc w:val="left"/>
            </w:pPr>
          </w:p>
        </w:tc>
        <w:tc>
          <w:tcPr>
            <w:tcW w:w="2130" w:type="dxa"/>
            <w:tcMar>
              <w:top w:type="dxa" w:w="60"/>
              <w:left w:type="dxa" w:w="120"/>
              <w:bottom w:type="dxa" w:w="30"/>
              <w:right w:type="dxa" w:w="120"/>
            </w:tcMar>
          </w:tcPr>
          <w:p>
            <w:pPr>
              <w:spacing w:before="120" w:after="120" w:line="288" w:lineRule="auto"/>
              <w:ind w:left="0"/>
              <w:jc w:val="left"/>
            </w:pPr>
          </w:p>
        </w:tc>
        <w:tc>
          <w:tcPr>
            <w:tcW w:w="5460" w:type="dxa"/>
            <w:tcMar>
              <w:top w:type="dxa" w:w="60"/>
              <w:left w:type="dxa" w:w="120"/>
              <w:bottom w:type="dxa" w:w="30"/>
              <w:right w:type="dxa" w:w="120"/>
            </w:tcMar>
          </w:tcPr>
          <w:p>
            <w:pPr>
              <w:spacing w:before="120" w:after="120" w:line="288" w:lineRule="auto"/>
              <w:ind w:left="0"/>
              <w:jc w:val="left"/>
            </w:pPr>
          </w:p>
        </w:tc>
      </w:tr>
      <w:tr>
        <w:tc>
          <w:tcPr>
            <w:tcW w:w="690" w:type="dxa"/>
            <w:tcMar>
              <w:top w:type="dxa" w:w="60"/>
              <w:left w:type="dxa" w:w="120"/>
              <w:bottom w:type="dxa" w:w="30"/>
              <w:right w:type="dxa" w:w="120"/>
            </w:tcMar>
          </w:tcPr>
          <w:p>
            <w:pPr>
              <w:spacing w:before="120" w:after="120" w:line="288" w:lineRule="auto"/>
              <w:ind w:left="0"/>
              <w:jc w:val="left"/>
            </w:pPr>
          </w:p>
        </w:tc>
        <w:tc>
          <w:tcPr>
            <w:tcW w:w="2130" w:type="dxa"/>
            <w:tcMar>
              <w:top w:type="dxa" w:w="60"/>
              <w:left w:type="dxa" w:w="120"/>
              <w:bottom w:type="dxa" w:w="30"/>
              <w:right w:type="dxa" w:w="120"/>
            </w:tcMar>
          </w:tcPr>
          <w:p>
            <w:pPr>
              <w:spacing w:before="120" w:after="120" w:line="288" w:lineRule="auto"/>
              <w:ind w:left="0"/>
              <w:jc w:val="left"/>
            </w:pPr>
          </w:p>
        </w:tc>
        <w:tc>
          <w:tcPr>
            <w:tcW w:w="5460" w:type="dxa"/>
            <w:tcMar>
              <w:top w:type="dxa" w:w="60"/>
              <w:left w:type="dxa" w:w="120"/>
              <w:bottom w:type="dxa" w:w="30"/>
              <w:right w:type="dxa" w:w="120"/>
            </w:tcMar>
          </w:tcPr>
          <w:p>
            <w:pPr>
              <w:spacing w:before="120" w:after="120" w:line="288" w:lineRule="auto"/>
              <w:ind w:left="0"/>
              <w:jc w:val="left"/>
            </w:pPr>
          </w:p>
        </w:tc>
      </w:tr>
      <w:tr>
        <w:tc>
          <w:tcPr>
            <w:tcW w:w="690" w:type="dxa"/>
            <w:tcMar>
              <w:top w:type="dxa" w:w="60"/>
              <w:left w:type="dxa" w:w="120"/>
              <w:bottom w:type="dxa" w:w="30"/>
              <w:right w:type="dxa" w:w="120"/>
            </w:tcMar>
          </w:tcPr>
          <w:p>
            <w:pPr>
              <w:spacing w:before="120" w:after="120" w:line="288" w:lineRule="auto"/>
              <w:ind w:left="0"/>
              <w:jc w:val="left"/>
            </w:pPr>
          </w:p>
        </w:tc>
        <w:tc>
          <w:tcPr>
            <w:tcW w:w="2130" w:type="dxa"/>
            <w:tcMar>
              <w:top w:type="dxa" w:w="60"/>
              <w:left w:type="dxa" w:w="120"/>
              <w:bottom w:type="dxa" w:w="30"/>
              <w:right w:type="dxa" w:w="120"/>
            </w:tcMar>
          </w:tcPr>
          <w:p>
            <w:pPr>
              <w:spacing w:before="120" w:after="120" w:line="288" w:lineRule="auto"/>
              <w:ind w:left="0"/>
              <w:jc w:val="left"/>
            </w:pPr>
          </w:p>
        </w:tc>
        <w:tc>
          <w:tcPr>
            <w:tcW w:w="5460" w:type="dxa"/>
            <w:tcMar>
              <w:top w:type="dxa" w:w="60"/>
              <w:left w:type="dxa" w:w="120"/>
              <w:bottom w:type="dxa" w:w="30"/>
              <w:right w:type="dxa" w:w="120"/>
            </w:tcMar>
          </w:tcPr>
          <w:p>
            <w:pPr>
              <w:spacing w:before="120" w:after="120" w:line="288" w:lineRule="auto"/>
              <w:ind w:left="0"/>
              <w:jc w:val="left"/>
            </w:pPr>
          </w:p>
        </w:tc>
      </w:tr>
      <w:tr>
        <w:tc>
          <w:tcPr>
            <w:tcW w:w="690" w:type="dxa"/>
            <w:tcMar>
              <w:top w:type="dxa" w:w="60"/>
              <w:left w:type="dxa" w:w="120"/>
              <w:bottom w:type="dxa" w:w="30"/>
              <w:right w:type="dxa" w:w="120"/>
            </w:tcMar>
          </w:tcPr>
          <w:p>
            <w:pPr>
              <w:spacing w:before="120" w:after="120" w:line="288" w:lineRule="auto"/>
              <w:ind w:left="0"/>
              <w:jc w:val="left"/>
            </w:pPr>
          </w:p>
        </w:tc>
        <w:tc>
          <w:tcPr>
            <w:tcW w:w="2130" w:type="dxa"/>
            <w:tcMar>
              <w:top w:type="dxa" w:w="60"/>
              <w:left w:type="dxa" w:w="120"/>
              <w:bottom w:type="dxa" w:w="30"/>
              <w:right w:type="dxa" w:w="120"/>
            </w:tcMar>
          </w:tcPr>
          <w:p>
            <w:pPr>
              <w:spacing w:before="120" w:after="120" w:line="288" w:lineRule="auto"/>
              <w:ind w:left="0"/>
              <w:jc w:val="left"/>
            </w:pPr>
          </w:p>
        </w:tc>
        <w:tc>
          <w:tcPr>
            <w:tcW w:w="5460" w:type="dxa"/>
            <w:tcMar>
              <w:top w:type="dxa" w:w="60"/>
              <w:left w:type="dxa" w:w="120"/>
              <w:bottom w:type="dxa" w:w="30"/>
              <w:right w:type="dxa" w:w="120"/>
            </w:tcMar>
          </w:tcPr>
          <w:p>
            <w:pPr>
              <w:spacing w:before="120" w:after="120" w:line="288" w:lineRule="auto"/>
              <w:ind w:left="0"/>
              <w:jc w:val="left"/>
            </w:pPr>
          </w:p>
        </w:tc>
      </w:tr>
    </w:tbl>
    <w:p>
      <w:pPr>
        <w:pStyle w:val="2"/>
        <w:spacing w:before="320" w:after="120" w:line="288" w:lineRule="auto"/>
        <w:ind w:left="0"/>
        <w:jc w:val="left"/>
        <w:outlineLvl w:val="1"/>
      </w:pPr>
      <w:bookmarkStart w:name="heading_4" w:id="4"/>
      <w:r>
        <w:rPr>
          <w:rFonts w:eastAsia="等线" w:ascii="Arial" w:cs="Arial" w:hAnsi="Arial"/>
          <w:color w:val="3370ff"/>
          <w:sz w:val="32"/>
        </w:rPr>
        <w:t xml:space="preserve">1.4 </w:t>
      </w:r>
      <w:r>
        <w:rPr>
          <w:rFonts w:eastAsia="等线" w:ascii="Arial" w:cs="Arial" w:hAnsi="Arial"/>
          <w:b w:val="true"/>
          <w:sz w:val="32"/>
        </w:rPr>
        <w:t>统一异常处理</w:t>
      </w:r>
      <w:bookmarkEnd w:id="4"/>
    </w:p>
    <w:p>
      <w:pPr>
        <w:spacing w:before="120" w:after="120" w:line="288" w:lineRule="auto"/>
        <w:ind w:left="0" w:firstLine="0"/>
        <w:jc w:val="left"/>
      </w:pPr>
      <w:r>
        <w:rPr>
          <w:rFonts w:eastAsia="等线" w:ascii="Arial" w:cs="Arial" w:hAnsi="Arial"/>
          <w:color w:val="245bdb"/>
          <w:sz w:val="22"/>
        </w:rPr>
        <w:t>1、访问页面丢失：显示404提示、提示文本“非常抱歉，您访问的页面不存在”和返回首页按钮，点击返回首页按钮会返回“首页”页面。</w:t>
      </w:r>
    </w:p>
    <w:p>
      <w:pPr>
        <w:spacing w:before="120" w:after="120" w:line="288" w:lineRule="auto"/>
        <w:ind w:left="0" w:firstLine="0"/>
        <w:jc w:val="left"/>
      </w:pPr>
    </w:p>
    <w:p>
      <w:pPr>
        <w:spacing w:before="120" w:after="120" w:line="288" w:lineRule="auto"/>
        <w:ind w:left="0" w:firstLine="0"/>
        <w:jc w:val="left"/>
      </w:pPr>
      <w:r>
        <w:rPr>
          <w:rFonts w:eastAsia="等线" w:ascii="Arial" w:cs="Arial" w:hAnsi="Arial"/>
          <w:color w:val="245bdb"/>
          <w:sz w:val="22"/>
        </w:rPr>
        <w:t>2、服务器出错：显示500提示、提示文本“非常抱歉，服务器出错了”和返回首页按钮，点击返回首页按钮会返回“首页”页面。</w:t>
      </w:r>
    </w:p>
    <w:p>
      <w:pPr>
        <w:pStyle w:val="2"/>
        <w:spacing w:before="320" w:after="120" w:line="288" w:lineRule="auto"/>
        <w:ind w:left="0"/>
        <w:jc w:val="left"/>
        <w:outlineLvl w:val="1"/>
      </w:pPr>
      <w:bookmarkStart w:name="heading_5" w:id="5"/>
      <w:r>
        <w:rPr>
          <w:rFonts w:eastAsia="等线" w:ascii="Arial" w:cs="Arial" w:hAnsi="Arial"/>
          <w:color w:val="3370ff"/>
          <w:sz w:val="32"/>
        </w:rPr>
        <w:t xml:space="preserve">1.5 </w:t>
      </w:r>
      <w:r>
        <w:rPr>
          <w:rFonts w:eastAsia="等线" w:ascii="Arial" w:cs="Arial" w:hAnsi="Arial"/>
          <w:b w:val="true"/>
          <w:sz w:val="32"/>
        </w:rPr>
        <w:t>统一默认规则</w:t>
      </w:r>
      <w:bookmarkEnd w:id="5"/>
    </w:p>
    <w:p>
      <w:pPr>
        <w:spacing w:before="120" w:after="120" w:line="288" w:lineRule="auto"/>
        <w:ind w:left="0" w:firstLine="0"/>
        <w:jc w:val="left"/>
      </w:pPr>
      <w:r>
        <w:rPr>
          <w:rFonts w:eastAsia="等线" w:ascii="Arial" w:cs="Arial" w:hAnsi="Arial"/>
          <w:color w:val="245bdb"/>
          <w:sz w:val="22"/>
        </w:rPr>
        <w:t>1、默认排序规则：查询结果数据默认按照数据生成时间倒序排序。</w:t>
      </w:r>
    </w:p>
    <w:p>
      <w:pPr>
        <w:spacing w:before="120" w:after="120" w:line="288" w:lineRule="auto"/>
        <w:ind w:left="0" w:firstLine="0"/>
        <w:jc w:val="left"/>
      </w:pPr>
      <w:r>
        <w:rPr>
          <w:rFonts w:eastAsia="等线" w:ascii="Arial" w:cs="Arial" w:hAnsi="Arial"/>
          <w:color w:val="245bdb"/>
          <w:sz w:val="22"/>
        </w:rPr>
        <w:t xml:space="preserve">2、默认显示条数规则：查询结果数据默认20条/页显示，超过部分进行分页，通过切换分页查看其他数据。 </w:t>
      </w:r>
    </w:p>
    <w:p>
      <w:pPr>
        <w:spacing w:before="120" w:after="120" w:line="288" w:lineRule="auto"/>
        <w:ind w:left="0" w:firstLine="0"/>
        <w:jc w:val="left"/>
      </w:pPr>
      <w:r>
        <w:rPr>
          <w:rFonts w:eastAsia="等线" w:ascii="Arial" w:cs="Arial" w:hAnsi="Arial"/>
          <w:color w:val="245bdb"/>
          <w:sz w:val="22"/>
        </w:rPr>
        <w:t>3、默认缺省值展示规则：没有查询到相关数据时，在页面表头下方显示“暂无数据”提示。</w:t>
      </w:r>
    </w:p>
    <w:p>
      <w:pPr>
        <w:pStyle w:val="1"/>
        <w:spacing w:before="380" w:after="140" w:line="288" w:lineRule="auto"/>
        <w:ind w:left="0"/>
        <w:jc w:val="left"/>
        <w:outlineLvl w:val="0"/>
      </w:pPr>
      <w:bookmarkStart w:name="heading_6" w:id="6"/>
      <w:r>
        <w:rPr>
          <w:rFonts w:eastAsia="等线" w:ascii="Arial" w:cs="Arial" w:hAnsi="Arial"/>
          <w:color w:val="3370ff"/>
          <w:sz w:val="36"/>
        </w:rPr>
        <w:t xml:space="preserve">2. </w:t>
      </w:r>
      <w:r>
        <w:rPr>
          <w:rFonts w:eastAsia="等线" w:ascii="Arial" w:cs="Arial" w:hAnsi="Arial"/>
          <w:b w:val="true"/>
          <w:sz w:val="36"/>
        </w:rPr>
        <w:t>项目背景</w:t>
      </w:r>
      <w:bookmarkEnd w:id="6"/>
    </w:p>
    <w:p>
      <w:pPr>
        <w:spacing w:before="120" w:after="120" w:line="288" w:lineRule="auto"/>
        <w:ind w:left="0"/>
        <w:jc w:val="left"/>
      </w:pPr>
      <w:r>
        <w:rPr>
          <w:rFonts w:eastAsia="等线" w:ascii="Arial" w:cs="Arial" w:hAnsi="Arial"/>
          <w:color w:val="245bdb"/>
          <w:sz w:val="22"/>
        </w:rPr>
        <w:t>分子检测是现代精准医疗的重要手段，为实现中心医院分子实验室与基层医院高效协同工作，需开发一套支持</w:t>
      </w:r>
      <w:r>
        <w:rPr>
          <w:rFonts w:eastAsia="等线" w:ascii="Arial" w:cs="Arial" w:hAnsi="Arial"/>
          <w:color w:val="245bdb"/>
          <w:sz w:val="22"/>
        </w:rPr>
        <w:t>区域级</w:t>
      </w:r>
      <w:r>
        <w:rPr>
          <w:rFonts w:eastAsia="等线" w:ascii="Arial" w:cs="Arial" w:hAnsi="Arial"/>
          <w:color w:val="245bdb"/>
          <w:sz w:val="22"/>
        </w:rPr>
        <w:t>电子申请、</w:t>
      </w:r>
      <w:r>
        <w:rPr>
          <w:rFonts w:eastAsia="等线" w:ascii="Arial" w:cs="Arial" w:hAnsi="Arial"/>
          <w:color w:val="245bdb"/>
          <w:sz w:val="22"/>
        </w:rPr>
        <w:t>样本</w:t>
      </w:r>
      <w:r>
        <w:rPr>
          <w:rFonts w:eastAsia="等线" w:ascii="Arial" w:cs="Arial" w:hAnsi="Arial"/>
          <w:color w:val="245bdb"/>
          <w:sz w:val="22"/>
        </w:rPr>
        <w:t>物流追踪、报告回传等功能的分子检测信息系统。该系统将涵盖从样本申请、签署知情同意书、样本质控、报告管理、统计分析等完整流程，并对接医院现有系统（如LIS、NGS分析平台、费用系统等）。</w:t>
      </w:r>
    </w:p>
    <w:p>
      <w:pPr>
        <w:pStyle w:val="1"/>
        <w:spacing w:before="380" w:after="140" w:line="288" w:lineRule="auto"/>
        <w:ind w:left="0"/>
        <w:jc w:val="left"/>
        <w:outlineLvl w:val="0"/>
      </w:pPr>
      <w:bookmarkStart w:name="heading_7" w:id="7"/>
      <w:r>
        <w:rPr>
          <w:rFonts w:eastAsia="等线" w:ascii="Arial" w:cs="Arial" w:hAnsi="Arial"/>
          <w:color w:val="3370ff"/>
          <w:sz w:val="36"/>
        </w:rPr>
        <w:t xml:space="preserve">3. </w:t>
      </w:r>
      <w:r>
        <w:rPr>
          <w:rFonts w:eastAsia="等线" w:ascii="Arial" w:cs="Arial" w:hAnsi="Arial"/>
          <w:b w:val="true"/>
          <w:sz w:val="36"/>
        </w:rPr>
        <w:t>业务流程</w:t>
      </w:r>
      <w:bookmarkEnd w:id="7"/>
    </w:p>
    <w:p>
      <w:pPr>
        <w:spacing w:before="120" w:after="120" w:line="288" w:lineRule="auto"/>
        <w:ind w:left="0" w:firstLine="0"/>
        <w:jc w:val="left"/>
      </w:pPr>
      <w:r>
        <w:rPr>
          <w:rFonts w:eastAsia="等线" w:ascii="Arial" w:cs="Arial" w:hAnsi="Arial"/>
          <w:color w:val="245bdb"/>
          <w:sz w:val="22"/>
        </w:rPr>
        <w:t>基层医院申请 → 中心医院审核 → 知情同意书签署 → 收费 → 样本物流追踪 → 样本质控 → 检测与报告回传 → 样本回送</w:t>
      </w:r>
    </w:p>
    <w:p>
      <w:pPr>
        <w:spacing w:before="120" w:after="120" w:line="288" w:lineRule="auto"/>
        <w:ind w:left="0"/>
        <w:jc w:val="center"/>
      </w:pPr>
      <w:r>
        <w:drawing>
          <wp:inline distT="0" distR="0" distB="0" distL="0">
            <wp:extent cx="5257800" cy="4953000"/>
            <wp:docPr id="0" name="Drawing 0" descr=""/>
            <a:graphic xmlns:a="http://schemas.openxmlformats.org/drawingml/2006/main">
              <a:graphicData uri="http://schemas.openxmlformats.org/drawingml/2006/picture">
                <pic:pic xmlns:pic="http://schemas.openxmlformats.org/drawingml/2006/picture">
                  <pic:nvPicPr>
                    <pic:cNvPr id="0" name="Picture 0" descr=""/>
                    <pic:cNvPicPr>
                      <a:picLocks noChangeAspect="true"/>
                    </pic:cNvPicPr>
                  </pic:nvPicPr>
                  <pic:blipFill>
                    <a:blip r:embed="rId4"/>
                    <a:stretch>
                      <a:fillRect/>
                    </a:stretch>
                  </pic:blipFill>
                  <pic:spPr>
                    <a:xfrm>
                      <a:off x="0" y="0"/>
                      <a:ext cx="5257800" cy="4953000"/>
                    </a:xfrm>
                    <a:prstGeom prst="rect">
                      <a:avLst/>
                    </a:prstGeom>
                  </pic:spPr>
                </pic:pic>
              </a:graphicData>
            </a:graphic>
          </wp:inline>
        </w:drawing>
      </w:r>
    </w:p>
    <w:p>
      <w:pPr>
        <w:pStyle w:val="2"/>
        <w:spacing w:before="320" w:after="120" w:line="288" w:lineRule="auto"/>
        <w:ind w:left="0"/>
        <w:jc w:val="left"/>
        <w:outlineLvl w:val="1"/>
      </w:pPr>
      <w:bookmarkStart w:name="heading_8" w:id="8"/>
      <w:r>
        <w:rPr>
          <w:rFonts w:eastAsia="等线" w:ascii="Arial" w:cs="Arial" w:hAnsi="Arial"/>
          <w:color w:val="3370ff"/>
          <w:sz w:val="32"/>
        </w:rPr>
        <w:t xml:space="preserve">3.1 </w:t>
      </w:r>
      <w:r>
        <w:rPr>
          <w:rFonts w:eastAsia="等线" w:ascii="Arial" w:cs="Arial" w:hAnsi="Arial"/>
          <w:b w:val="true"/>
          <w:sz w:val="32"/>
        </w:rPr>
        <w:t>业务受众</w:t>
      </w:r>
      <w:bookmarkEnd w:id="8"/>
    </w:p>
    <w:p>
      <w:pPr>
        <w:spacing w:before="120" w:after="120" w:line="288" w:lineRule="auto"/>
        <w:ind w:left="0" w:firstLine="0"/>
        <w:jc w:val="left"/>
      </w:pPr>
      <w:r>
        <w:rPr>
          <w:rFonts w:eastAsia="等线" w:ascii="Arial" w:cs="Arial" w:hAnsi="Arial"/>
          <w:color w:val="245bdb"/>
          <w:sz w:val="22"/>
        </w:rPr>
        <w:t>涉及到相关人员有： “医生”、“</w:t>
      </w:r>
      <w:r>
        <w:rPr>
          <w:rFonts w:eastAsia="等线" w:ascii="Arial" w:cs="Arial" w:hAnsi="Arial"/>
          <w:color w:val="245bdb"/>
          <w:sz w:val="22"/>
        </w:rPr>
        <w:t>患者/</w:t>
      </w:r>
      <w:r>
        <w:rPr>
          <w:rFonts w:eastAsia="等线" w:ascii="Arial" w:cs="Arial" w:hAnsi="Arial"/>
          <w:color w:val="245bdb"/>
          <w:sz w:val="22"/>
        </w:rPr>
        <w:t>患者家属”、“</w:t>
      </w:r>
      <w:r>
        <w:rPr>
          <w:rFonts w:eastAsia="等线" w:ascii="Arial" w:cs="Arial" w:hAnsi="Arial"/>
          <w:color w:val="245bdb"/>
          <w:sz w:val="22"/>
        </w:rPr>
        <w:t>接收</w:t>
      </w:r>
      <w:r>
        <w:rPr>
          <w:rFonts w:eastAsia="等线" w:ascii="Arial" w:cs="Arial" w:hAnsi="Arial"/>
          <w:color w:val="245bdb"/>
          <w:sz w:val="22"/>
        </w:rPr>
        <w:t>人员”、“质控人员”、“管理员”。</w:t>
      </w:r>
    </w:p>
    <w:p>
      <w:pPr>
        <w:pStyle w:val="2"/>
        <w:spacing w:before="320" w:after="120" w:line="288" w:lineRule="auto"/>
        <w:ind w:left="0"/>
        <w:jc w:val="left"/>
        <w:outlineLvl w:val="1"/>
      </w:pPr>
      <w:bookmarkStart w:name="heading_9" w:id="9"/>
      <w:r>
        <w:rPr>
          <w:rFonts w:eastAsia="等线" w:ascii="Arial" w:cs="Arial" w:hAnsi="Arial"/>
          <w:color w:val="3370ff"/>
          <w:sz w:val="32"/>
        </w:rPr>
        <w:t xml:space="preserve">3.2 </w:t>
      </w:r>
      <w:r>
        <w:rPr>
          <w:rFonts w:eastAsia="等线" w:ascii="Arial" w:cs="Arial" w:hAnsi="Arial"/>
          <w:b w:val="true"/>
          <w:sz w:val="32"/>
        </w:rPr>
        <w:t>核心流程</w:t>
      </w:r>
      <w:bookmarkEnd w:id="9"/>
    </w:p>
    <w:p>
      <w:pPr>
        <w:numPr>
          <w:numId w:val="1"/>
        </w:numPr>
        <w:spacing w:before="120" w:after="120" w:line="288" w:lineRule="auto"/>
        <w:ind w:left="0"/>
        <w:jc w:val="left"/>
      </w:pPr>
      <w:r>
        <w:rPr>
          <w:rFonts w:eastAsia="等线" w:ascii="Arial" w:cs="Arial" w:hAnsi="Arial"/>
          <w:sz w:val="22"/>
        </w:rPr>
        <w:t>基层医院申请</w:t>
      </w:r>
    </w:p>
    <w:p>
      <w:pPr>
        <w:spacing w:before="120" w:after="120" w:line="288" w:lineRule="auto"/>
        <w:ind w:left="453" w:firstLine="0"/>
        <w:jc w:val="left"/>
      </w:pPr>
      <w:r>
        <w:rPr>
          <w:rFonts w:eastAsia="等线" w:ascii="Arial" w:cs="Arial" w:hAnsi="Arial"/>
          <w:color w:val="245bdb"/>
          <w:sz w:val="22"/>
        </w:rPr>
        <w:t>基层医院申请 → 知情同意书签署（如果存在基因项目）→ 中心审核(检查基础信息) → 当地收费 → 拍照上传（标本、物流单、物流：顺丰/邮政/第三方实验室人工寄送）→ 样本物流追踪</w:t>
      </w:r>
    </w:p>
    <w:p>
      <w:pPr>
        <w:numPr>
          <w:numId w:val="2"/>
        </w:numPr>
        <w:spacing w:before="120" w:after="120" w:line="288" w:lineRule="auto"/>
        <w:ind w:left="0"/>
        <w:jc w:val="left"/>
      </w:pPr>
      <w:r>
        <w:rPr>
          <w:rFonts w:eastAsia="等线" w:ascii="Arial" w:cs="Arial" w:hAnsi="Arial"/>
          <w:sz w:val="22"/>
        </w:rPr>
        <w:t>中心医院接收与样本质控</w:t>
      </w:r>
    </w:p>
    <w:p>
      <w:pPr>
        <w:spacing w:before="120" w:after="120" w:line="288" w:lineRule="auto"/>
        <w:ind w:left="0" w:firstLine="420"/>
        <w:jc w:val="left"/>
      </w:pPr>
      <w:r>
        <w:rPr>
          <w:rFonts w:eastAsia="等线" w:ascii="Arial" w:cs="Arial" w:hAnsi="Arial"/>
          <w:color w:val="245bdb"/>
          <w:sz w:val="22"/>
        </w:rPr>
        <w:t>确认接收 → 样本质控（退检需要填写原因） → 检测 → 报告回传 → 样本回送 → 当地签收</w:t>
      </w:r>
    </w:p>
    <w:p>
      <w:pPr>
        <w:pStyle w:val="1"/>
        <w:spacing w:before="380" w:after="140" w:line="288" w:lineRule="auto"/>
        <w:ind w:left="0"/>
        <w:jc w:val="left"/>
        <w:outlineLvl w:val="0"/>
      </w:pPr>
      <w:bookmarkStart w:name="heading_10" w:id="10"/>
      <w:r>
        <w:rPr>
          <w:rFonts w:eastAsia="等线" w:ascii="Arial" w:cs="Arial" w:hAnsi="Arial"/>
          <w:color w:val="3370ff"/>
          <w:sz w:val="36"/>
        </w:rPr>
        <w:t xml:space="preserve">4. </w:t>
      </w:r>
      <w:r>
        <w:rPr>
          <w:rFonts w:eastAsia="等线" w:ascii="Arial" w:cs="Arial" w:hAnsi="Arial"/>
          <w:b w:val="true"/>
          <w:sz w:val="36"/>
        </w:rPr>
        <w:t>功能需求</w:t>
      </w:r>
      <w:bookmarkEnd w:id="10"/>
    </w:p>
    <w:p>
      <w:pPr>
        <w:pStyle w:val="2"/>
        <w:spacing w:before="320" w:after="120" w:line="288" w:lineRule="auto"/>
        <w:ind w:left="453"/>
        <w:jc w:val="left"/>
        <w:outlineLvl w:val="1"/>
      </w:pPr>
      <w:bookmarkStart w:name="heading_11" w:id="11"/>
      <w:r>
        <w:rPr>
          <w:rFonts w:eastAsia="等线" w:ascii="Arial" w:cs="Arial" w:hAnsi="Arial"/>
          <w:color w:val="3370ff"/>
          <w:sz w:val="32"/>
        </w:rPr>
        <w:t xml:space="preserve">4.1 </w:t>
      </w:r>
      <w:r>
        <w:rPr>
          <w:rFonts w:eastAsia="等线" w:ascii="Arial" w:cs="Arial" w:hAnsi="Arial"/>
          <w:b w:val="true"/>
          <w:sz w:val="32"/>
        </w:rPr>
        <w:t>申请单管理</w:t>
      </w:r>
      <w:bookmarkEnd w:id="11"/>
    </w:p>
    <w:p>
      <w:pPr>
        <w:spacing w:before="120" w:after="120" w:line="288" w:lineRule="auto"/>
        <w:ind w:left="907"/>
        <w:jc w:val="left"/>
      </w:pPr>
      <w:r>
        <w:rPr>
          <w:rFonts w:eastAsia="等线" w:ascii="Arial" w:cs="Arial" w:hAnsi="Arial"/>
          <w:color w:val="245bdb"/>
          <w:sz w:val="22"/>
        </w:rPr>
        <w:t>病理检测申请单管理是用于规范病理检测流程的核心模块。该系统需支持申请单的电子化填写、提交、审核和管理，涵盖患者基本信息、临床诊断、样本信息和检测项目选择等功能。</w:t>
      </w:r>
    </w:p>
    <w:p>
      <w:pPr>
        <w:pStyle w:val="3"/>
        <w:spacing w:before="300" w:after="120" w:line="288" w:lineRule="auto"/>
        <w:ind w:left="907"/>
        <w:jc w:val="left"/>
        <w:outlineLvl w:val="2"/>
      </w:pPr>
      <w:bookmarkStart w:name="heading_12" w:id="12"/>
      <w:r>
        <w:rPr>
          <w:rFonts w:eastAsia="等线" w:ascii="Arial" w:cs="Arial" w:hAnsi="Arial"/>
          <w:color w:val="3370ff"/>
          <w:sz w:val="30"/>
        </w:rPr>
        <w:t xml:space="preserve">4.1.1 </w:t>
      </w:r>
      <w:r>
        <w:rPr>
          <w:rFonts w:eastAsia="等线" w:ascii="Arial" w:cs="Arial" w:hAnsi="Arial"/>
          <w:b w:val="true"/>
          <w:sz w:val="30"/>
        </w:rPr>
        <w:t>申请单基础信息</w:t>
      </w:r>
      <w:bookmarkEnd w:id="12"/>
    </w:p>
    <w:p>
      <w:pPr>
        <w:numPr>
          <w:numId w:val="3"/>
        </w:numPr>
        <w:spacing w:before="120" w:after="120" w:line="288" w:lineRule="auto"/>
        <w:ind w:left="1360"/>
        <w:jc w:val="left"/>
      </w:pPr>
      <w:r>
        <w:rPr>
          <w:rFonts w:eastAsia="等线" w:ascii="Arial" w:cs="Arial" w:hAnsi="Arial"/>
          <w:b w:val="true"/>
          <w:sz w:val="22"/>
        </w:rPr>
        <w:t>用户场景</w:t>
      </w:r>
    </w:p>
    <w:p>
      <w:pPr>
        <w:spacing w:before="120" w:after="120" w:line="288" w:lineRule="auto"/>
        <w:ind w:left="1360"/>
        <w:jc w:val="left"/>
      </w:pPr>
      <w:r>
        <w:rPr>
          <w:rFonts w:eastAsia="等线" w:ascii="Arial" w:cs="Arial" w:hAnsi="Arial"/>
          <w:color w:val="245bdb"/>
          <w:sz w:val="22"/>
        </w:rPr>
        <w:t>基层医院申请单需要填写患者的基础信息</w:t>
      </w:r>
    </w:p>
    <w:p>
      <w:pPr>
        <w:numPr>
          <w:numId w:val="4"/>
        </w:numPr>
        <w:spacing w:before="120" w:after="120" w:line="288" w:lineRule="auto"/>
        <w:ind w:left="1360"/>
        <w:jc w:val="left"/>
      </w:pPr>
      <w:r>
        <w:rPr>
          <w:rFonts w:eastAsia="等线" w:ascii="Arial" w:cs="Arial" w:hAnsi="Arial"/>
          <w:b w:val="true"/>
          <w:sz w:val="22"/>
        </w:rPr>
        <w:t>功能描述</w:t>
      </w:r>
    </w:p>
    <w:p>
      <w:pPr>
        <w:spacing w:before="120" w:after="120" w:line="288" w:lineRule="auto"/>
        <w:ind w:left="1360"/>
        <w:jc w:val="left"/>
      </w:pPr>
      <w:r>
        <w:rPr>
          <w:rFonts w:eastAsia="等线" w:ascii="Arial" w:cs="Arial" w:hAnsi="Arial"/>
          <w:color w:val="245bdb"/>
          <w:sz w:val="22"/>
        </w:rPr>
        <w:t>基础信息中每一项都是必填项，</w:t>
      </w:r>
      <w:r>
        <w:rPr>
          <w:rFonts w:eastAsia="等线" w:ascii="Arial" w:cs="Arial" w:hAnsi="Arial"/>
          <w:color w:val="245bdb"/>
          <w:sz w:val="22"/>
        </w:rPr>
        <w:t>对于基础信息可以保存草稿，草稿可以进行修改，审核通过之后不允许修改</w:t>
      </w:r>
      <w:r>
        <w:rPr>
          <w:rFonts w:eastAsia="等线" w:ascii="Arial" w:cs="Arial" w:hAnsi="Arial"/>
          <w:color w:val="245bdb"/>
          <w:sz w:val="22"/>
        </w:rPr>
        <w:t>基础</w:t>
      </w:r>
      <w:r>
        <w:rPr>
          <w:rFonts w:eastAsia="等线" w:ascii="Arial" w:cs="Arial" w:hAnsi="Arial"/>
          <w:color w:val="245bdb"/>
          <w:sz w:val="22"/>
        </w:rPr>
        <w:t>信息</w:t>
      </w:r>
    </w:p>
    <w:p>
      <w:pPr>
        <w:numPr>
          <w:numId w:val="5"/>
        </w:numPr>
        <w:spacing w:before="120" w:after="120" w:line="288" w:lineRule="auto"/>
        <w:ind w:left="1360"/>
        <w:jc w:val="left"/>
      </w:pPr>
      <w:r>
        <w:rPr>
          <w:rFonts w:eastAsia="等线" w:ascii="Arial" w:cs="Arial" w:hAnsi="Arial"/>
          <w:b w:val="true"/>
          <w:sz w:val="22"/>
        </w:rPr>
        <w:t>需求说明</w:t>
      </w:r>
    </w:p>
    <w:p>
      <w:pPr>
        <w:spacing w:before="120" w:after="120" w:line="288" w:lineRule="auto"/>
        <w:ind w:left="1360"/>
        <w:jc w:val="left"/>
      </w:pPr>
      <w:r>
        <w:rPr>
          <w:rFonts w:eastAsia="等线" w:ascii="Arial" w:cs="Arial" w:hAnsi="Arial"/>
          <w:b w:val="true"/>
          <w:color w:val="245bdb"/>
          <w:sz w:val="22"/>
        </w:rPr>
        <w:t>患者基础信息</w:t>
      </w:r>
      <w:r>
        <w:rPr>
          <w:rFonts w:eastAsia="等线" w:ascii="Arial" w:cs="Arial" w:hAnsi="Arial"/>
          <w:color w:val="245bdb"/>
          <w:sz w:val="22"/>
        </w:rPr>
        <w:t xml:space="preserve"> 包括</w:t>
      </w:r>
      <w:r>
        <w:rPr>
          <w:rFonts w:eastAsia="等线" w:ascii="Arial" w:cs="Arial" w:hAnsi="Arial"/>
          <w:b w:val="true"/>
          <w:color w:val="245bdb"/>
          <w:sz w:val="22"/>
        </w:rPr>
        <w:t>患者基本信息、送检信息、临床诊断信息、样本信息</w:t>
      </w:r>
    </w:p>
    <w:p>
      <w:pPr>
        <w:spacing w:before="120" w:after="120" w:line="288" w:lineRule="auto"/>
        <w:ind w:left="1814"/>
        <w:jc w:val="center"/>
      </w:pPr>
      <w:r>
        <w:drawing>
          <wp:inline distT="0" distR="0" distB="0" distL="0">
            <wp:extent cx="5257800" cy="3810000"/>
            <wp:docPr id="1" name="Drawing 1" descr=""/>
            <a:graphic xmlns:a="http://schemas.openxmlformats.org/drawingml/2006/main">
              <a:graphicData uri="http://schemas.openxmlformats.org/drawingml/2006/picture">
                <pic:pic xmlns:pic="http://schemas.openxmlformats.org/drawingml/2006/picture">
                  <pic:nvPicPr>
                    <pic:cNvPr id="0" name="Picture 1" descr=""/>
                    <pic:cNvPicPr>
                      <a:picLocks noChangeAspect="true"/>
                    </pic:cNvPicPr>
                  </pic:nvPicPr>
                  <pic:blipFill>
                    <a:blip r:embed="rId6"/>
                    <a:stretch>
                      <a:fillRect/>
                    </a:stretch>
                  </pic:blipFill>
                  <pic:spPr>
                    <a:xfrm>
                      <a:off x="0" y="0"/>
                      <a:ext cx="5257800" cy="3810000"/>
                    </a:xfrm>
                    <a:prstGeom prst="rect">
                      <a:avLst/>
                    </a:prstGeom>
                  </pic:spPr>
                </pic:pic>
              </a:graphicData>
            </a:graphic>
          </wp:inline>
        </w:drawing>
      </w:r>
    </w:p>
    <w:p>
      <w:pPr>
        <w:spacing w:before="120" w:after="120" w:line="288" w:lineRule="auto"/>
        <w:ind w:left="1814"/>
        <w:jc w:val="center"/>
      </w:pPr>
      <w:r>
        <w:rPr>
          <w:rFonts w:eastAsia="等线" w:ascii="Arial" w:cs="Arial" w:hAnsi="Arial"/>
          <w:color w:val="8F959E"/>
          <w:sz w:val="22"/>
        </w:rPr>
        <w:t>基础信息</w:t>
        <w:br/>
      </w:r>
    </w:p>
    <w:p>
      <w:pPr>
        <w:numPr>
          <w:numId w:val="6"/>
        </w:numPr>
        <w:spacing w:before="120" w:after="120" w:line="288" w:lineRule="auto"/>
        <w:ind w:left="1814"/>
        <w:jc w:val="left"/>
      </w:pPr>
      <w:r>
        <w:rPr>
          <w:rFonts w:eastAsia="等线" w:ascii="Arial" w:cs="Arial" w:hAnsi="Arial"/>
          <w:b w:val="true"/>
          <w:color w:val="245bdb"/>
          <w:sz w:val="22"/>
        </w:rPr>
        <w:t>患者基本信息</w:t>
      </w:r>
      <w:r>
        <w:rPr>
          <w:rFonts w:eastAsia="等线" w:ascii="Arial" w:cs="Arial" w:hAnsi="Arial"/>
          <w:color w:val="245bdb"/>
          <w:sz w:val="22"/>
        </w:rPr>
        <w:t>：</w:t>
      </w:r>
    </w:p>
    <w:p>
      <w:pPr>
        <w:numPr>
          <w:numId w:val="7"/>
        </w:numPr>
        <w:spacing w:before="120" w:after="120" w:line="288" w:lineRule="auto"/>
        <w:ind w:left="2268"/>
        <w:jc w:val="left"/>
      </w:pPr>
      <w:r>
        <w:rPr>
          <w:rFonts w:eastAsia="等线" w:ascii="Arial" w:cs="Arial" w:hAnsi="Arial"/>
          <w:color w:val="245bdb"/>
          <w:sz w:val="22"/>
        </w:rPr>
        <w:t>必填项：姓名、性别、年龄、病理号、住院号/门诊号、联系电话</w:t>
      </w:r>
    </w:p>
    <w:p>
      <w:pPr>
        <w:numPr>
          <w:numId w:val="8"/>
        </w:numPr>
        <w:spacing w:before="120" w:after="120" w:line="288" w:lineRule="auto"/>
        <w:ind w:left="2268"/>
        <w:jc w:val="left"/>
      </w:pPr>
      <w:r>
        <w:rPr>
          <w:rFonts w:eastAsia="等线" w:ascii="Arial" w:cs="Arial" w:hAnsi="Arial"/>
          <w:color w:val="245bdb"/>
          <w:sz w:val="22"/>
        </w:rPr>
        <w:t>验证规则：年龄需为数字，联系电话需符合格式验证</w:t>
      </w:r>
    </w:p>
    <w:p>
      <w:pPr>
        <w:numPr>
          <w:numId w:val="9"/>
        </w:numPr>
        <w:spacing w:before="120" w:after="120" w:line="288" w:lineRule="auto"/>
        <w:ind w:left="1814"/>
        <w:jc w:val="left"/>
      </w:pPr>
      <w:r>
        <w:rPr>
          <w:rFonts w:eastAsia="等线" w:ascii="Arial" w:cs="Arial" w:hAnsi="Arial"/>
          <w:b w:val="true"/>
          <w:color w:val="245bdb"/>
          <w:sz w:val="22"/>
        </w:rPr>
        <w:t>送检信息：</w:t>
      </w:r>
    </w:p>
    <w:p>
      <w:pPr>
        <w:numPr>
          <w:numId w:val="10"/>
        </w:numPr>
        <w:spacing w:before="120" w:after="120" w:line="288" w:lineRule="auto"/>
        <w:ind w:left="2268"/>
        <w:jc w:val="left"/>
      </w:pPr>
      <w:r>
        <w:rPr>
          <w:rFonts w:eastAsia="等线" w:ascii="Arial" w:cs="Arial" w:hAnsi="Arial"/>
          <w:color w:val="245bdb"/>
          <w:sz w:val="22"/>
        </w:rPr>
        <w:t>送检科室（下拉选择或自由填写）</w:t>
      </w:r>
    </w:p>
    <w:p>
      <w:pPr>
        <w:numPr>
          <w:numId w:val="11"/>
        </w:numPr>
        <w:spacing w:before="120" w:after="120" w:line="288" w:lineRule="auto"/>
        <w:ind w:left="2268"/>
        <w:jc w:val="left"/>
      </w:pPr>
      <w:r>
        <w:rPr>
          <w:rFonts w:eastAsia="等线" w:ascii="Arial" w:cs="Arial" w:hAnsi="Arial"/>
          <w:color w:val="245bdb"/>
          <w:sz w:val="22"/>
        </w:rPr>
        <w:t>送检医师（</w:t>
      </w:r>
      <w:r>
        <w:rPr>
          <w:rFonts w:eastAsia="等线" w:ascii="Arial" w:cs="Arial" w:hAnsi="Arial"/>
          <w:color w:val="245bdb"/>
          <w:sz w:val="22"/>
        </w:rPr>
        <w:t>必填项</w:t>
      </w:r>
      <w:r>
        <w:rPr>
          <w:rFonts w:eastAsia="等线" w:ascii="Arial" w:cs="Arial" w:hAnsi="Arial"/>
          <w:color w:val="245bdb"/>
          <w:sz w:val="22"/>
        </w:rPr>
        <w:t>）</w:t>
      </w:r>
    </w:p>
    <w:p>
      <w:pPr>
        <w:numPr>
          <w:numId w:val="12"/>
        </w:numPr>
        <w:spacing w:before="120" w:after="120" w:line="288" w:lineRule="auto"/>
        <w:ind w:left="2268"/>
        <w:jc w:val="left"/>
      </w:pPr>
      <w:r>
        <w:rPr>
          <w:rFonts w:eastAsia="等线" w:ascii="Arial" w:cs="Arial" w:hAnsi="Arial"/>
          <w:color w:val="245bdb"/>
          <w:sz w:val="22"/>
        </w:rPr>
        <w:t>送检日期（自动填充当前日期，可修改）</w:t>
      </w:r>
    </w:p>
    <w:p>
      <w:pPr>
        <w:numPr>
          <w:numId w:val="13"/>
        </w:numPr>
        <w:spacing w:before="120" w:after="120" w:line="288" w:lineRule="auto"/>
        <w:ind w:left="1814"/>
        <w:jc w:val="left"/>
      </w:pPr>
      <w:r>
        <w:rPr>
          <w:rFonts w:eastAsia="等线" w:ascii="Arial" w:cs="Arial" w:hAnsi="Arial"/>
          <w:b w:val="true"/>
          <w:color w:val="245bdb"/>
          <w:sz w:val="22"/>
        </w:rPr>
        <w:t>临床诊断信息：</w:t>
      </w:r>
    </w:p>
    <w:p>
      <w:pPr>
        <w:numPr>
          <w:numId w:val="14"/>
        </w:numPr>
        <w:spacing w:before="120" w:after="120" w:line="288" w:lineRule="auto"/>
        <w:ind w:left="2268"/>
        <w:jc w:val="left"/>
      </w:pPr>
      <w:r>
        <w:rPr>
          <w:rFonts w:eastAsia="等线" w:ascii="Arial" w:cs="Arial" w:hAnsi="Arial"/>
          <w:color w:val="245bdb"/>
          <w:sz w:val="22"/>
        </w:rPr>
        <w:t>临床/病理诊断（文本输入，支持长文本）</w:t>
      </w:r>
    </w:p>
    <w:p>
      <w:pPr>
        <w:numPr>
          <w:numId w:val="15"/>
        </w:numPr>
        <w:spacing w:before="120" w:after="120" w:line="288" w:lineRule="auto"/>
        <w:ind w:left="2268"/>
        <w:jc w:val="left"/>
      </w:pPr>
      <w:r>
        <w:rPr>
          <w:rFonts w:eastAsia="等线" w:ascii="Arial" w:cs="Arial" w:hAnsi="Arial"/>
          <w:color w:val="245bdb"/>
          <w:sz w:val="22"/>
        </w:rPr>
        <w:t>初治状态（单选按钮：是/否）</w:t>
      </w:r>
    </w:p>
    <w:p>
      <w:pPr>
        <w:numPr>
          <w:numId w:val="16"/>
        </w:numPr>
        <w:spacing w:before="120" w:after="120" w:line="288" w:lineRule="auto"/>
        <w:ind w:left="2268"/>
        <w:jc w:val="left"/>
      </w:pPr>
      <w:r>
        <w:rPr>
          <w:rFonts w:eastAsia="等线" w:ascii="Arial" w:cs="Arial" w:hAnsi="Arial"/>
          <w:color w:val="245bdb"/>
          <w:sz w:val="22"/>
        </w:rPr>
        <w:t>末次化疗时间（日期选择器，条件显示：当初治选择"否"时必填）</w:t>
      </w:r>
    </w:p>
    <w:p>
      <w:pPr>
        <w:numPr>
          <w:numId w:val="17"/>
        </w:numPr>
        <w:spacing w:before="120" w:after="120" w:line="288" w:lineRule="auto"/>
        <w:ind w:left="2268"/>
        <w:jc w:val="left"/>
      </w:pPr>
      <w:r>
        <w:rPr>
          <w:rFonts w:eastAsia="等线" w:ascii="Arial" w:cs="Arial" w:hAnsi="Arial"/>
          <w:color w:val="245bdb"/>
          <w:sz w:val="22"/>
        </w:rPr>
        <w:t>肿瘤分期：</w:t>
      </w:r>
    </w:p>
    <w:p>
      <w:pPr>
        <w:numPr>
          <w:numId w:val="18"/>
        </w:numPr>
        <w:spacing w:before="120" w:after="120" w:line="288" w:lineRule="auto"/>
        <w:ind w:left="2721"/>
        <w:jc w:val="left"/>
      </w:pPr>
      <w:r>
        <w:rPr>
          <w:rFonts w:eastAsia="等线" w:ascii="Arial" w:cs="Arial" w:hAnsi="Arial"/>
          <w:color w:val="245bdb"/>
          <w:sz w:val="22"/>
        </w:rPr>
        <w:t>TNM分期系统（T/N/M三个独立下拉菜单，选项：0-4/X）</w:t>
      </w:r>
    </w:p>
    <w:p>
      <w:pPr>
        <w:numPr>
          <w:numId w:val="19"/>
        </w:numPr>
        <w:spacing w:before="120" w:after="120" w:line="288" w:lineRule="auto"/>
        <w:ind w:left="2721"/>
        <w:jc w:val="left"/>
      </w:pPr>
      <w:r>
        <w:rPr>
          <w:rFonts w:eastAsia="等线" w:ascii="Arial" w:cs="Arial" w:hAnsi="Arial"/>
          <w:color w:val="245bdb"/>
          <w:sz w:val="22"/>
        </w:rPr>
        <w:t>原发病灶部位（自由文本输入）</w:t>
      </w:r>
    </w:p>
    <w:p>
      <w:pPr>
        <w:numPr>
          <w:numId w:val="20"/>
        </w:numPr>
        <w:spacing w:before="120" w:after="120" w:line="288" w:lineRule="auto"/>
        <w:ind w:left="2268"/>
        <w:jc w:val="left"/>
      </w:pPr>
      <w:r>
        <w:rPr>
          <w:rFonts w:eastAsia="等线" w:ascii="Arial" w:cs="Arial" w:hAnsi="Arial"/>
          <w:color w:val="245bdb"/>
          <w:sz w:val="22"/>
        </w:rPr>
        <w:t>治疗历史：</w:t>
      </w:r>
    </w:p>
    <w:p>
      <w:pPr>
        <w:numPr>
          <w:numId w:val="21"/>
        </w:numPr>
        <w:spacing w:before="120" w:after="120" w:line="288" w:lineRule="auto"/>
        <w:ind w:left="2721"/>
        <w:jc w:val="left"/>
      </w:pPr>
      <w:r>
        <w:rPr>
          <w:rFonts w:eastAsia="等线" w:ascii="Arial" w:cs="Arial" w:hAnsi="Arial"/>
          <w:color w:val="245bdb"/>
          <w:sz w:val="22"/>
        </w:rPr>
        <w:t>多选框：手术、化疗、放疗、靶向药物治疗、</w:t>
      </w:r>
      <w:r>
        <w:rPr>
          <w:rFonts w:eastAsia="等线" w:ascii="Arial" w:cs="Arial" w:hAnsi="Arial"/>
          <w:sz w:val="22"/>
          <w:shd w:fill="ffe928"/>
        </w:rPr>
        <w:t>其他</w:t>
      </w:r>
      <w:r>
        <w:rPr>
          <w:rFonts w:eastAsia="等线" w:ascii="Arial" w:cs="Arial" w:hAnsi="Arial"/>
          <w:sz w:val="22"/>
          <w:shd w:fill="ffe928"/>
        </w:rPr>
        <w:t>（允许填写内容）</w:t>
      </w:r>
    </w:p>
    <w:p>
      <w:pPr>
        <w:numPr>
          <w:numId w:val="22"/>
        </w:numPr>
        <w:spacing w:before="120" w:after="120" w:line="288" w:lineRule="auto"/>
        <w:ind w:left="2721"/>
        <w:jc w:val="left"/>
      </w:pPr>
      <w:r>
        <w:rPr>
          <w:rFonts w:eastAsia="等线" w:ascii="Arial" w:cs="Arial" w:hAnsi="Arial"/>
          <w:color w:val="245bdb"/>
          <w:sz w:val="22"/>
        </w:rPr>
        <w:t>吸烟史（单选按钮组，包含不吸烟/吸烟/已戒烟选项及年限细分）</w:t>
      </w:r>
    </w:p>
    <w:p>
      <w:pPr>
        <w:numPr>
          <w:numId w:val="23"/>
        </w:numPr>
        <w:spacing w:before="120" w:after="120" w:line="288" w:lineRule="auto"/>
        <w:ind w:left="1814"/>
        <w:jc w:val="left"/>
      </w:pPr>
      <w:r>
        <w:rPr>
          <w:rFonts w:eastAsia="等线" w:ascii="Arial" w:cs="Arial" w:hAnsi="Arial"/>
          <w:b w:val="true"/>
          <w:color w:val="245bdb"/>
          <w:sz w:val="22"/>
        </w:rPr>
        <w:t>样本信息：</w:t>
      </w:r>
    </w:p>
    <w:p>
      <w:pPr>
        <w:numPr>
          <w:numId w:val="24"/>
        </w:numPr>
        <w:spacing w:before="120" w:after="120" w:line="288" w:lineRule="auto"/>
        <w:ind w:left="2268"/>
        <w:jc w:val="left"/>
      </w:pPr>
      <w:r>
        <w:rPr>
          <w:rFonts w:eastAsia="等线" w:ascii="Arial" w:cs="Arial" w:hAnsi="Arial"/>
          <w:color w:val="245bdb"/>
          <w:sz w:val="22"/>
        </w:rPr>
        <w:t>样本类型：</w:t>
      </w:r>
    </w:p>
    <w:p>
      <w:pPr>
        <w:numPr>
          <w:numId w:val="25"/>
        </w:numPr>
        <w:spacing w:before="120" w:after="120" w:line="288" w:lineRule="auto"/>
        <w:ind w:left="2721"/>
        <w:jc w:val="left"/>
      </w:pPr>
      <w:r>
        <w:rPr>
          <w:rFonts w:eastAsia="等线" w:ascii="Arial" w:cs="Arial" w:hAnsi="Arial"/>
          <w:color w:val="245bdb"/>
          <w:sz w:val="22"/>
        </w:rPr>
        <w:t>单选按钮：大标本/小标本/外周血/骨髓/淋巴结/其他</w:t>
      </w:r>
    </w:p>
    <w:p>
      <w:pPr>
        <w:numPr>
          <w:numId w:val="26"/>
        </w:numPr>
        <w:spacing w:before="120" w:after="120" w:line="288" w:lineRule="auto"/>
        <w:ind w:left="2721"/>
        <w:jc w:val="left"/>
      </w:pPr>
      <w:r>
        <w:rPr>
          <w:rFonts w:eastAsia="等线" w:ascii="Arial" w:cs="Arial" w:hAnsi="Arial"/>
          <w:color w:val="245bdb"/>
          <w:sz w:val="22"/>
        </w:rPr>
        <w:t>样本形式：石蜡切片/石蜡包埋组织块/其他（单选）</w:t>
      </w:r>
    </w:p>
    <w:p>
      <w:pPr>
        <w:numPr>
          <w:numId w:val="27"/>
        </w:numPr>
        <w:spacing w:before="120" w:after="120" w:line="288" w:lineRule="auto"/>
        <w:ind w:left="2268"/>
        <w:jc w:val="left"/>
      </w:pPr>
      <w:r>
        <w:rPr>
          <w:rFonts w:eastAsia="等线" w:ascii="Arial" w:cs="Arial" w:hAnsi="Arial"/>
          <w:color w:val="245bdb"/>
          <w:sz w:val="22"/>
        </w:rPr>
        <w:t>样本详情：</w:t>
      </w:r>
    </w:p>
    <w:p>
      <w:pPr>
        <w:numPr>
          <w:numId w:val="28"/>
        </w:numPr>
        <w:spacing w:before="120" w:after="120" w:line="288" w:lineRule="auto"/>
        <w:ind w:left="2721"/>
        <w:jc w:val="left"/>
      </w:pPr>
      <w:r>
        <w:rPr>
          <w:rFonts w:eastAsia="等线" w:ascii="Arial" w:cs="Arial" w:hAnsi="Arial"/>
          <w:color w:val="245bdb"/>
          <w:sz w:val="22"/>
        </w:rPr>
        <w:t>采集时间（日期选择器，精确到日）</w:t>
      </w:r>
    </w:p>
    <w:p>
      <w:pPr>
        <w:numPr>
          <w:numId w:val="29"/>
        </w:numPr>
        <w:spacing w:before="120" w:after="120" w:line="288" w:lineRule="auto"/>
        <w:ind w:left="2721"/>
        <w:jc w:val="left"/>
      </w:pPr>
      <w:r>
        <w:rPr>
          <w:rFonts w:eastAsia="等线" w:ascii="Arial" w:cs="Arial" w:hAnsi="Arial"/>
          <w:color w:val="245bdb"/>
          <w:sz w:val="22"/>
        </w:rPr>
        <w:t>采集来源（单选按钮：原发病灶/淋巴结转移灶/远处转移灶/不详）</w:t>
      </w:r>
    </w:p>
    <w:p>
      <w:pPr>
        <w:numPr>
          <w:numId w:val="30"/>
        </w:numPr>
        <w:spacing w:before="120" w:after="120" w:line="288" w:lineRule="auto"/>
        <w:ind w:left="3175"/>
        <w:jc w:val="left"/>
      </w:pPr>
      <w:r>
        <w:rPr>
          <w:rFonts w:eastAsia="等线" w:ascii="Arial" w:cs="Arial" w:hAnsi="Arial"/>
          <w:color w:val="245bdb"/>
          <w:sz w:val="22"/>
        </w:rPr>
        <w:t>当选择"远处转移灶"时，显示器官输入框</w:t>
      </w:r>
    </w:p>
    <w:p>
      <w:pPr>
        <w:pStyle w:val="3"/>
        <w:spacing w:before="300" w:after="120" w:line="288" w:lineRule="auto"/>
        <w:ind w:left="907"/>
        <w:jc w:val="left"/>
        <w:outlineLvl w:val="2"/>
      </w:pPr>
      <w:bookmarkStart w:name="heading_13" w:id="13"/>
      <w:r>
        <w:rPr>
          <w:rFonts w:eastAsia="等线" w:ascii="Arial" w:cs="Arial" w:hAnsi="Arial"/>
          <w:color w:val="3370ff"/>
          <w:sz w:val="30"/>
        </w:rPr>
        <w:t xml:space="preserve">4.1.2 </w:t>
      </w:r>
      <w:r>
        <w:rPr>
          <w:rFonts w:eastAsia="等线" w:ascii="Arial" w:cs="Arial" w:hAnsi="Arial"/>
          <w:b w:val="true"/>
          <w:sz w:val="30"/>
        </w:rPr>
        <w:t>检测项目</w:t>
      </w:r>
      <w:bookmarkEnd w:id="13"/>
    </w:p>
    <w:p>
      <w:pPr>
        <w:numPr>
          <w:numId w:val="31"/>
        </w:numPr>
        <w:spacing w:before="120" w:after="120" w:line="288" w:lineRule="auto"/>
        <w:ind w:left="1360"/>
        <w:jc w:val="left"/>
      </w:pPr>
      <w:r>
        <w:rPr>
          <w:rFonts w:eastAsia="等线" w:ascii="Arial" w:cs="Arial" w:hAnsi="Arial"/>
          <w:b w:val="true"/>
          <w:sz w:val="22"/>
        </w:rPr>
        <w:t>用户场景</w:t>
      </w:r>
    </w:p>
    <w:p>
      <w:pPr>
        <w:spacing w:before="120" w:after="120" w:line="288" w:lineRule="auto"/>
        <w:ind w:left="1360"/>
        <w:jc w:val="left"/>
      </w:pPr>
      <w:r>
        <w:rPr>
          <w:rFonts w:eastAsia="等线" w:ascii="Arial" w:cs="Arial" w:hAnsi="Arial"/>
          <w:color w:val="245bdb"/>
          <w:sz w:val="22"/>
        </w:rPr>
        <w:t>申请单填写完基础信息之后需要选择检测项目</w:t>
      </w:r>
    </w:p>
    <w:p>
      <w:pPr>
        <w:numPr>
          <w:numId w:val="32"/>
        </w:numPr>
        <w:spacing w:before="120" w:after="120" w:line="288" w:lineRule="auto"/>
        <w:ind w:left="1360"/>
        <w:jc w:val="left"/>
      </w:pPr>
      <w:r>
        <w:rPr>
          <w:rFonts w:eastAsia="等线" w:ascii="Arial" w:cs="Arial" w:hAnsi="Arial"/>
          <w:b w:val="true"/>
          <w:sz w:val="22"/>
        </w:rPr>
        <w:t>功能描述</w:t>
      </w:r>
    </w:p>
    <w:p>
      <w:pPr>
        <w:spacing w:before="120" w:after="120" w:line="288" w:lineRule="auto"/>
        <w:ind w:left="1360"/>
        <w:jc w:val="left"/>
      </w:pPr>
      <w:r>
        <w:rPr>
          <w:rFonts w:eastAsia="等线" w:ascii="Arial" w:cs="Arial" w:hAnsi="Arial"/>
          <w:color w:val="245bdb"/>
          <w:sz w:val="22"/>
        </w:rPr>
        <w:t>申请单可以选择多个检测项目，项目分为免疫组化平台、基因检测项目</w:t>
      </w:r>
    </w:p>
    <w:p>
      <w:pPr>
        <w:numPr>
          <w:numId w:val="33"/>
        </w:numPr>
        <w:spacing w:before="120" w:after="120" w:line="288" w:lineRule="auto"/>
        <w:ind w:left="1360"/>
        <w:jc w:val="left"/>
      </w:pPr>
      <w:r>
        <w:rPr>
          <w:rFonts w:eastAsia="等线" w:ascii="Arial" w:cs="Arial" w:hAnsi="Arial"/>
          <w:b w:val="true"/>
          <w:sz w:val="22"/>
        </w:rPr>
        <w:t>需求说明</w:t>
      </w:r>
    </w:p>
    <w:p>
      <w:pPr>
        <w:spacing w:before="120" w:after="120" w:line="288" w:lineRule="auto"/>
        <w:ind w:left="1360"/>
        <w:jc w:val="left"/>
      </w:pPr>
      <w:r>
        <w:rPr>
          <w:rFonts w:eastAsia="等线" w:ascii="Arial" w:cs="Arial" w:hAnsi="Arial"/>
          <w:color w:val="245bdb"/>
          <w:sz w:val="22"/>
        </w:rPr>
        <w:t>检测项目是可以多选的，分为会诊、免疫组化、基因检测</w:t>
      </w:r>
    </w:p>
    <w:p>
      <w:pPr>
        <w:spacing w:before="120" w:after="120" w:line="288" w:lineRule="auto"/>
        <w:ind w:left="1360"/>
        <w:jc w:val="left"/>
      </w:pPr>
      <w:r>
        <w:rPr>
          <w:rFonts w:eastAsia="等线" w:ascii="Arial" w:cs="Arial" w:hAnsi="Arial"/>
          <w:color w:val="245bdb"/>
          <w:sz w:val="22"/>
        </w:rPr>
        <w:t>项目可以由中心医院配置，基层医院可以在配置的检测项目中复选，选择项目后即可提交申请单。</w:t>
      </w:r>
    </w:p>
    <w:p>
      <w:pPr>
        <w:spacing w:before="120" w:after="120" w:line="288" w:lineRule="auto"/>
        <w:ind w:left="1360"/>
        <w:jc w:val="left"/>
      </w:pPr>
      <w:r>
        <w:rPr>
          <w:rFonts w:eastAsia="等线" w:ascii="Arial" w:cs="Arial" w:hAnsi="Arial"/>
          <w:color w:val="d83931"/>
          <w:sz w:val="22"/>
        </w:rPr>
        <w:t>检测项目的明细见后面的检测项目管理模块中</w:t>
      </w:r>
    </w:p>
    <w:p>
      <w:pPr>
        <w:pStyle w:val="3"/>
        <w:spacing w:before="300" w:after="120" w:line="288" w:lineRule="auto"/>
        <w:ind w:left="907"/>
        <w:jc w:val="left"/>
        <w:outlineLvl w:val="2"/>
      </w:pPr>
      <w:bookmarkStart w:name="heading_14" w:id="14"/>
      <w:r>
        <w:rPr>
          <w:rFonts w:eastAsia="等线" w:ascii="Arial" w:cs="Arial" w:hAnsi="Arial"/>
          <w:color w:val="3370ff"/>
          <w:sz w:val="30"/>
        </w:rPr>
        <w:t xml:space="preserve">4.1.3 </w:t>
      </w:r>
      <w:r>
        <w:rPr>
          <w:rFonts w:eastAsia="等线" w:ascii="Arial" w:cs="Arial" w:hAnsi="Arial"/>
          <w:b w:val="true"/>
          <w:sz w:val="30"/>
        </w:rPr>
        <w:t>附加信息/材料</w:t>
      </w:r>
      <w:bookmarkEnd w:id="14"/>
    </w:p>
    <w:p>
      <w:pPr>
        <w:numPr>
          <w:numId w:val="34"/>
        </w:numPr>
        <w:spacing w:before="120" w:after="120" w:line="288" w:lineRule="auto"/>
        <w:ind w:left="1360"/>
        <w:jc w:val="left"/>
      </w:pPr>
      <w:r>
        <w:rPr>
          <w:rFonts w:eastAsia="等线" w:ascii="Arial" w:cs="Arial" w:hAnsi="Arial"/>
          <w:b w:val="true"/>
          <w:sz w:val="22"/>
        </w:rPr>
        <w:t>用户场景</w:t>
      </w:r>
    </w:p>
    <w:p>
      <w:pPr>
        <w:spacing w:before="120" w:after="120" w:line="288" w:lineRule="auto"/>
        <w:ind w:left="1360"/>
        <w:jc w:val="left"/>
      </w:pPr>
      <w:r>
        <w:rPr>
          <w:rFonts w:eastAsia="等线" w:ascii="Arial" w:cs="Arial" w:hAnsi="Arial"/>
          <w:color w:val="245bdb"/>
          <w:sz w:val="22"/>
        </w:rPr>
        <w:t>有一些检测项目需要上传相关资料，基层医院需要按照要求上传资料</w:t>
      </w:r>
      <w:r>
        <w:rPr>
          <w:rFonts w:eastAsia="等线" w:ascii="Arial" w:cs="Arial" w:hAnsi="Arial"/>
          <w:color w:val="245bdb"/>
          <w:sz w:val="22"/>
        </w:rPr>
        <w:t>，若没有上传某个项目需要的资料，会被退回此次申请。</w:t>
      </w:r>
    </w:p>
    <w:p>
      <w:pPr>
        <w:numPr>
          <w:numId w:val="35"/>
        </w:numPr>
        <w:spacing w:before="120" w:after="120" w:line="288" w:lineRule="auto"/>
        <w:ind w:left="1360"/>
        <w:jc w:val="left"/>
      </w:pPr>
      <w:r>
        <w:rPr>
          <w:rFonts w:eastAsia="等线" w:ascii="Arial" w:cs="Arial" w:hAnsi="Arial"/>
          <w:b w:val="true"/>
          <w:sz w:val="22"/>
        </w:rPr>
        <w:t>功能描述</w:t>
      </w:r>
    </w:p>
    <w:p>
      <w:pPr>
        <w:spacing w:before="120" w:after="120" w:line="288" w:lineRule="auto"/>
        <w:ind w:left="1360"/>
        <w:jc w:val="left"/>
      </w:pPr>
      <w:r>
        <w:rPr>
          <w:rFonts w:eastAsia="等线" w:ascii="Arial" w:cs="Arial" w:hAnsi="Arial"/>
          <w:color w:val="245bdb"/>
          <w:sz w:val="22"/>
        </w:rPr>
        <w:t>基层医院填写相关信息，或者上传一些必要资料</w:t>
      </w:r>
    </w:p>
    <w:p>
      <w:pPr>
        <w:numPr>
          <w:numId w:val="36"/>
        </w:numPr>
        <w:spacing w:before="120" w:after="120" w:line="288" w:lineRule="auto"/>
        <w:ind w:left="1360"/>
        <w:jc w:val="left"/>
      </w:pPr>
      <w:r>
        <w:rPr>
          <w:rFonts w:eastAsia="等线" w:ascii="Arial" w:cs="Arial" w:hAnsi="Arial"/>
          <w:b w:val="true"/>
          <w:sz w:val="22"/>
        </w:rPr>
        <w:t>需求说明</w:t>
      </w:r>
    </w:p>
    <w:p>
      <w:pPr>
        <w:spacing w:before="120" w:after="120" w:line="288" w:lineRule="auto"/>
        <w:ind w:left="1360"/>
        <w:jc w:val="left"/>
      </w:pPr>
      <w:r>
        <w:rPr>
          <w:rFonts w:eastAsia="等线" w:ascii="Arial" w:cs="Arial" w:hAnsi="Arial"/>
          <w:color w:val="245bdb"/>
          <w:sz w:val="22"/>
        </w:rPr>
        <w:t>附加信息主要用于检测项目所需的前置检查和信息</w:t>
      </w:r>
      <w:r>
        <w:rPr>
          <w:rFonts w:eastAsia="等线" w:ascii="Arial" w:cs="Arial" w:hAnsi="Arial"/>
          <w:color w:val="245bdb"/>
          <w:sz w:val="22"/>
        </w:rPr>
        <w:t>，其中有些资料对于现有的项目非常重要必须附加，如临床病史、遗传病史、肿瘤病史、知情同意书等。</w:t>
      </w:r>
    </w:p>
    <w:p>
      <w:pPr>
        <w:numPr>
          <w:numId w:val="37"/>
        </w:numPr>
        <w:spacing w:before="120" w:after="120" w:line="288" w:lineRule="auto"/>
        <w:ind w:left="1360"/>
        <w:jc w:val="left"/>
      </w:pPr>
      <w:r>
        <w:rPr>
          <w:rFonts w:eastAsia="等线" w:ascii="Arial" w:cs="Arial" w:hAnsi="Arial"/>
          <w:sz w:val="22"/>
        </w:rPr>
        <w:t>原单位病理报告</w:t>
      </w:r>
    </w:p>
    <w:p>
      <w:pPr>
        <w:spacing w:before="120" w:after="120" w:line="288" w:lineRule="auto"/>
        <w:ind w:left="1814" w:firstLine="0"/>
        <w:jc w:val="left"/>
      </w:pPr>
      <w:r>
        <w:rPr>
          <w:rFonts w:eastAsia="等线" w:ascii="Arial" w:cs="Arial" w:hAnsi="Arial"/>
          <w:color w:val="245bdb"/>
          <w:sz w:val="22"/>
        </w:rPr>
        <w:t>同样有基因检测的项目必须上传病理报告，否则后续的质控可能会退检。图片需要可以进行文字提取，需要里面的信息来录入分子检测室的系统。</w:t>
      </w:r>
    </w:p>
    <w:p>
      <w:pPr>
        <w:numPr>
          <w:numId w:val="38"/>
        </w:numPr>
        <w:spacing w:before="120" w:after="120" w:line="288" w:lineRule="auto"/>
        <w:ind w:left="1360"/>
        <w:jc w:val="left"/>
      </w:pPr>
      <w:r>
        <w:rPr>
          <w:rFonts w:eastAsia="等线" w:ascii="Arial" w:cs="Arial" w:hAnsi="Arial"/>
          <w:sz w:val="22"/>
        </w:rPr>
        <w:t>病史信息</w:t>
      </w:r>
    </w:p>
    <w:p>
      <w:pPr>
        <w:spacing w:before="120" w:after="120" w:line="288" w:lineRule="auto"/>
        <w:ind w:left="1360" w:firstLine="420"/>
        <w:jc w:val="left"/>
      </w:pPr>
      <w:r>
        <w:rPr>
          <w:rFonts w:eastAsia="等线" w:ascii="Arial" w:cs="Arial" w:hAnsi="Arial"/>
          <w:color w:val="245bdb"/>
          <w:sz w:val="22"/>
        </w:rPr>
        <w:t>临床病史、遗传病史，</w:t>
      </w:r>
      <w:r>
        <w:rPr>
          <w:rFonts w:eastAsia="等线" w:ascii="Arial" w:cs="Arial" w:hAnsi="Arial"/>
          <w:color w:val="245bdb"/>
          <w:sz w:val="22"/>
        </w:rPr>
        <w:t>肿瘤病史</w:t>
      </w:r>
      <w:r>
        <w:rPr>
          <w:rFonts w:eastAsia="等线" w:ascii="Arial" w:cs="Arial" w:hAnsi="Arial"/>
          <w:color w:val="245bdb"/>
          <w:sz w:val="22"/>
        </w:rPr>
        <w:t>文本框进行输入</w:t>
      </w:r>
    </w:p>
    <w:p>
      <w:pPr>
        <w:numPr>
          <w:numId w:val="39"/>
        </w:numPr>
        <w:spacing w:before="120" w:after="120" w:line="288" w:lineRule="auto"/>
        <w:ind w:left="1360"/>
        <w:jc w:val="left"/>
      </w:pPr>
      <w:r>
        <w:rPr>
          <w:rFonts w:eastAsia="等线" w:ascii="Arial" w:cs="Arial" w:hAnsi="Arial"/>
          <w:sz w:val="22"/>
        </w:rPr>
        <w:t>辅助检查</w:t>
      </w:r>
    </w:p>
    <w:p>
      <w:pPr>
        <w:spacing w:before="120" w:after="120" w:line="288" w:lineRule="auto"/>
        <w:ind w:left="1360" w:firstLine="420"/>
        <w:jc w:val="left"/>
      </w:pPr>
      <w:r>
        <w:rPr>
          <w:rFonts w:eastAsia="等线" w:ascii="Arial" w:cs="Arial" w:hAnsi="Arial"/>
          <w:color w:val="245bdb"/>
          <w:sz w:val="22"/>
        </w:rPr>
        <w:t>如 CT、胃肠镜、血液学、骨髓检测等检查结果单，拍照或者扫描上传</w:t>
      </w:r>
    </w:p>
    <w:p>
      <w:pPr>
        <w:numPr>
          <w:numId w:val="40"/>
        </w:numPr>
        <w:spacing w:before="120" w:after="120" w:line="288" w:lineRule="auto"/>
        <w:ind w:left="1360"/>
        <w:jc w:val="left"/>
      </w:pPr>
      <w:r>
        <w:rPr>
          <w:rFonts w:eastAsia="等线" w:ascii="Arial" w:cs="Arial" w:hAnsi="Arial"/>
          <w:sz w:val="22"/>
        </w:rPr>
        <w:t>其他信息</w:t>
      </w:r>
    </w:p>
    <w:p>
      <w:pPr>
        <w:spacing w:before="120" w:after="120" w:line="288" w:lineRule="auto"/>
        <w:ind w:left="1360" w:firstLine="420"/>
        <w:jc w:val="left"/>
      </w:pPr>
      <w:r>
        <w:rPr>
          <w:rFonts w:eastAsia="等线" w:ascii="Arial" w:cs="Arial" w:hAnsi="Arial"/>
          <w:color w:val="245bdb"/>
          <w:sz w:val="22"/>
        </w:rPr>
        <w:t>患者的其他治疗信息，</w:t>
      </w:r>
      <w:r>
        <w:rPr>
          <w:rFonts w:eastAsia="等线" w:ascii="Arial" w:cs="Arial" w:hAnsi="Arial"/>
          <w:color w:val="245bdb"/>
          <w:sz w:val="22"/>
        </w:rPr>
        <w:t>取材</w:t>
      </w:r>
      <w:r>
        <w:rPr>
          <w:rFonts w:eastAsia="等线" w:ascii="Arial" w:cs="Arial" w:hAnsi="Arial"/>
          <w:color w:val="245bdb"/>
          <w:sz w:val="22"/>
        </w:rPr>
        <w:t>明细</w:t>
      </w:r>
      <w:r>
        <w:rPr>
          <w:rFonts w:eastAsia="等线" w:ascii="Arial" w:cs="Arial" w:hAnsi="Arial"/>
          <w:color w:val="245bdb"/>
          <w:sz w:val="22"/>
        </w:rPr>
        <w:t>、有无注射脂肪乳</w:t>
      </w:r>
      <w:r>
        <w:rPr>
          <w:rFonts w:eastAsia="等线" w:ascii="Arial" w:cs="Arial" w:hAnsi="Arial"/>
          <w:color w:val="245bdb"/>
          <w:sz w:val="22"/>
        </w:rPr>
        <w:t>等。其中</w:t>
      </w:r>
      <w:r>
        <w:rPr>
          <w:rFonts w:eastAsia="等线" w:ascii="Arial" w:cs="Arial" w:hAnsi="Arial"/>
          <w:color w:val="245bdb"/>
          <w:sz w:val="22"/>
        </w:rPr>
        <w:t>取材</w:t>
      </w:r>
      <w:r>
        <w:rPr>
          <w:rFonts w:eastAsia="等线" w:ascii="Arial" w:cs="Arial" w:hAnsi="Arial"/>
          <w:color w:val="245bdb"/>
          <w:sz w:val="22"/>
        </w:rPr>
        <w:t>明细是扩展申请单中的取材信息的更详细说明，</w:t>
      </w:r>
      <w:r>
        <w:rPr>
          <w:rFonts w:eastAsia="等线" w:ascii="Arial" w:cs="Arial" w:hAnsi="Arial"/>
          <w:color w:val="245bdb"/>
          <w:sz w:val="22"/>
        </w:rPr>
        <w:t>属于文本输入</w:t>
      </w:r>
      <w:r>
        <w:rPr>
          <w:rFonts w:eastAsia="等线" w:ascii="Arial" w:cs="Arial" w:hAnsi="Arial"/>
          <w:color w:val="245bdb"/>
          <w:sz w:val="22"/>
        </w:rPr>
        <w:t>，</w:t>
      </w:r>
      <w:r>
        <w:rPr>
          <w:rFonts w:eastAsia="等线" w:ascii="Arial" w:cs="Arial" w:hAnsi="Arial"/>
          <w:color w:val="245bdb"/>
          <w:sz w:val="22"/>
        </w:rPr>
        <w:t>有无注射脂肪乳等则</w:t>
      </w:r>
      <w:r>
        <w:rPr>
          <w:rFonts w:eastAsia="等线" w:ascii="Arial" w:cs="Arial" w:hAnsi="Arial"/>
          <w:color w:val="245bdb"/>
          <w:sz w:val="22"/>
        </w:rPr>
        <w:t>是是否选择项</w:t>
      </w:r>
    </w:p>
    <w:p>
      <w:pPr>
        <w:numPr>
          <w:numId w:val="41"/>
        </w:numPr>
        <w:spacing w:before="120" w:after="120" w:line="288" w:lineRule="auto"/>
        <w:ind w:left="1360"/>
        <w:jc w:val="left"/>
      </w:pPr>
      <w:r>
        <w:rPr>
          <w:rFonts w:eastAsia="等线" w:ascii="Arial" w:cs="Arial" w:hAnsi="Arial"/>
          <w:sz w:val="22"/>
        </w:rPr>
        <w:t>知情同意书</w:t>
      </w:r>
    </w:p>
    <w:p>
      <w:pPr>
        <w:spacing w:before="120" w:after="120" w:line="288" w:lineRule="auto"/>
        <w:ind w:left="1814" w:firstLine="0"/>
        <w:jc w:val="left"/>
      </w:pPr>
      <w:r>
        <w:rPr>
          <w:rFonts w:eastAsia="等线" w:ascii="Arial" w:cs="Arial" w:hAnsi="Arial"/>
          <w:color w:val="245bdb"/>
          <w:sz w:val="22"/>
        </w:rPr>
        <w:t>如果项目中有基因检测的项目，需要上传患者/患者家属签字的知情同意书，需要通过电脑上传签署知情同意书的图片</w:t>
      </w:r>
    </w:p>
    <w:p>
      <w:pPr>
        <w:pStyle w:val="3"/>
        <w:spacing w:before="300" w:after="120" w:line="288" w:lineRule="auto"/>
        <w:ind w:left="907"/>
        <w:jc w:val="left"/>
        <w:outlineLvl w:val="2"/>
      </w:pPr>
      <w:bookmarkStart w:name="heading_15" w:id="15"/>
      <w:r>
        <w:rPr>
          <w:rFonts w:eastAsia="等线" w:ascii="Arial" w:cs="Arial" w:hAnsi="Arial"/>
          <w:color w:val="3370ff"/>
          <w:sz w:val="30"/>
        </w:rPr>
        <w:t xml:space="preserve">4.1.4 </w:t>
      </w:r>
      <w:r>
        <w:rPr>
          <w:rFonts w:eastAsia="等线" w:ascii="Arial" w:cs="Arial" w:hAnsi="Arial"/>
          <w:b w:val="true"/>
          <w:sz w:val="30"/>
        </w:rPr>
        <w:t>审核申请信息</w:t>
      </w:r>
      <w:bookmarkEnd w:id="15"/>
    </w:p>
    <w:p>
      <w:pPr>
        <w:numPr>
          <w:numId w:val="42"/>
        </w:numPr>
        <w:spacing w:before="120" w:after="120" w:line="288" w:lineRule="auto"/>
        <w:ind w:left="1360"/>
        <w:jc w:val="left"/>
      </w:pPr>
      <w:r>
        <w:rPr>
          <w:rFonts w:eastAsia="等线" w:ascii="Arial" w:cs="Arial" w:hAnsi="Arial"/>
          <w:b w:val="true"/>
          <w:sz w:val="22"/>
        </w:rPr>
        <w:t>用户场景</w:t>
      </w:r>
    </w:p>
    <w:p>
      <w:pPr>
        <w:spacing w:before="120" w:after="120" w:line="288" w:lineRule="auto"/>
        <w:ind w:left="1360"/>
        <w:jc w:val="left"/>
      </w:pPr>
      <w:r>
        <w:rPr>
          <w:rFonts w:eastAsia="等线" w:ascii="Arial" w:cs="Arial" w:hAnsi="Arial"/>
          <w:color w:val="245bdb"/>
          <w:sz w:val="22"/>
        </w:rPr>
        <w:t>基层医院提交申请单之后，中心医院的医生需要对基础信息进行审核</w:t>
      </w:r>
    </w:p>
    <w:p>
      <w:pPr>
        <w:numPr>
          <w:numId w:val="43"/>
        </w:numPr>
        <w:spacing w:before="120" w:after="120" w:line="288" w:lineRule="auto"/>
        <w:ind w:left="1360"/>
        <w:jc w:val="left"/>
      </w:pPr>
      <w:r>
        <w:rPr>
          <w:rFonts w:eastAsia="等线" w:ascii="Arial" w:cs="Arial" w:hAnsi="Arial"/>
          <w:b w:val="true"/>
          <w:sz w:val="22"/>
        </w:rPr>
        <w:t>功能描述</w:t>
      </w:r>
    </w:p>
    <w:p>
      <w:pPr>
        <w:spacing w:before="120" w:after="120" w:line="288" w:lineRule="auto"/>
        <w:ind w:left="1360"/>
        <w:jc w:val="left"/>
      </w:pPr>
      <w:r>
        <w:rPr>
          <w:rFonts w:eastAsia="等线" w:ascii="Arial" w:cs="Arial" w:hAnsi="Arial"/>
          <w:color w:val="245bdb"/>
          <w:sz w:val="22"/>
        </w:rPr>
        <w:t>审核申请单的患者信息是否缺失，核对病理号、检测项目与患者信息，相关资料是否上传。</w:t>
      </w:r>
    </w:p>
    <w:p>
      <w:pPr>
        <w:numPr>
          <w:numId w:val="44"/>
        </w:numPr>
        <w:spacing w:before="120" w:after="120" w:line="288" w:lineRule="auto"/>
        <w:ind w:left="1360"/>
        <w:jc w:val="left"/>
      </w:pPr>
      <w:r>
        <w:rPr>
          <w:rFonts w:eastAsia="等线" w:ascii="Arial" w:cs="Arial" w:hAnsi="Arial"/>
          <w:b w:val="true"/>
          <w:sz w:val="22"/>
        </w:rPr>
        <w:t>需求说明</w:t>
      </w:r>
    </w:p>
    <w:p>
      <w:pPr>
        <w:spacing w:before="120" w:after="120" w:line="288" w:lineRule="auto"/>
        <w:ind w:left="1360"/>
        <w:jc w:val="left"/>
      </w:pPr>
      <w:r>
        <w:rPr>
          <w:rFonts w:eastAsia="等线" w:ascii="Arial" w:cs="Arial" w:hAnsi="Arial"/>
          <w:color w:val="245bdb"/>
          <w:sz w:val="22"/>
        </w:rPr>
        <w:t>（1）</w:t>
      </w:r>
      <w:r>
        <w:rPr>
          <w:rFonts w:eastAsia="等线" w:ascii="Arial" w:cs="Arial" w:hAnsi="Arial"/>
          <w:color w:val="245bdb"/>
          <w:sz w:val="22"/>
        </w:rPr>
        <w:t>如果缺少资料会退回申请单，基层单位需要重新修改提交，并且会生成一个退回记录。</w:t>
      </w:r>
    </w:p>
    <w:p>
      <w:pPr>
        <w:spacing w:before="120" w:after="120" w:line="288" w:lineRule="auto"/>
        <w:ind w:left="1360"/>
        <w:jc w:val="left"/>
      </w:pPr>
      <w:r>
        <w:rPr>
          <w:rFonts w:eastAsia="等线" w:ascii="Arial" w:cs="Arial" w:hAnsi="Arial"/>
          <w:color w:val="245bdb"/>
          <w:sz w:val="22"/>
        </w:rPr>
        <w:t>（2）</w:t>
      </w:r>
      <w:r>
        <w:rPr>
          <w:rFonts w:eastAsia="等线" w:ascii="Arial" w:cs="Arial" w:hAnsi="Arial"/>
          <w:color w:val="245bdb"/>
          <w:sz w:val="22"/>
        </w:rPr>
        <w:t>审核列表会以一个列表的形式显示，列表会显示患者信息、检测项目信息、送检信息等，进入详情则可以看到申请单的所有信息。中心医院的人员可以进行审核操作，审核完成之后，会通知基层医院。</w:t>
      </w:r>
    </w:p>
    <w:p>
      <w:pPr>
        <w:spacing w:before="120" w:after="120" w:line="288" w:lineRule="auto"/>
        <w:ind w:left="1360"/>
        <w:jc w:val="left"/>
      </w:pPr>
      <w:r>
        <w:rPr>
          <w:rFonts w:eastAsia="等线" w:ascii="Arial" w:cs="Arial" w:hAnsi="Arial"/>
          <w:color w:val="245bdb"/>
          <w:sz w:val="22"/>
        </w:rPr>
        <w:t>（3）</w:t>
      </w:r>
      <w:r>
        <w:rPr>
          <w:rFonts w:eastAsia="等线" w:ascii="Arial" w:cs="Arial" w:hAnsi="Arial"/>
          <w:color w:val="245bdb"/>
          <w:sz w:val="22"/>
        </w:rPr>
        <w:t>基层医院确认缴费之后会变更每个检测项目的缴费状态，多个检测项目都是显示到申请单中，并且寄送样本，填写物流信息，物流信息包含物流单信息、关联的申请单（多选）、标本照片上传。</w:t>
      </w:r>
    </w:p>
    <w:p>
      <w:pPr>
        <w:pStyle w:val="3"/>
        <w:spacing w:before="300" w:after="120" w:line="288" w:lineRule="auto"/>
        <w:ind w:left="907"/>
        <w:jc w:val="left"/>
        <w:outlineLvl w:val="2"/>
      </w:pPr>
      <w:bookmarkStart w:name="heading_16" w:id="16"/>
      <w:r>
        <w:rPr>
          <w:rFonts w:eastAsia="等线" w:ascii="Arial" w:cs="Arial" w:hAnsi="Arial"/>
          <w:color w:val="3370ff"/>
          <w:sz w:val="30"/>
        </w:rPr>
        <w:t xml:space="preserve">4.1.5 </w:t>
      </w:r>
      <w:r>
        <w:rPr>
          <w:rFonts w:eastAsia="等线" w:ascii="Arial" w:cs="Arial" w:hAnsi="Arial"/>
          <w:b w:val="true"/>
          <w:sz w:val="30"/>
        </w:rPr>
        <w:t>申请单详情</w:t>
      </w:r>
      <w:bookmarkEnd w:id="16"/>
    </w:p>
    <w:p>
      <w:pPr>
        <w:numPr>
          <w:numId w:val="45"/>
        </w:numPr>
        <w:spacing w:before="120" w:after="120" w:line="288" w:lineRule="auto"/>
        <w:ind w:left="1360"/>
        <w:jc w:val="left"/>
      </w:pPr>
      <w:r>
        <w:rPr>
          <w:rFonts w:eastAsia="等线" w:ascii="Arial" w:cs="Arial" w:hAnsi="Arial"/>
          <w:b w:val="true"/>
          <w:sz w:val="22"/>
        </w:rPr>
        <w:t>用户场景</w:t>
      </w:r>
    </w:p>
    <w:p>
      <w:pPr>
        <w:spacing w:before="120" w:after="120" w:line="288" w:lineRule="auto"/>
        <w:ind w:left="1360"/>
        <w:jc w:val="left"/>
      </w:pPr>
      <w:r>
        <w:rPr>
          <w:rFonts w:eastAsia="等线" w:ascii="Arial" w:cs="Arial" w:hAnsi="Arial"/>
          <w:color w:val="245bdb"/>
          <w:sz w:val="22"/>
        </w:rPr>
        <w:t>提交申请单之后，基层医院和中心医院都可以查看申请单详情</w:t>
      </w:r>
      <w:r>
        <w:rPr>
          <w:rFonts w:eastAsia="等线" w:ascii="Arial" w:cs="Arial" w:hAnsi="Arial"/>
          <w:color w:val="245bdb"/>
          <w:sz w:val="22"/>
        </w:rPr>
        <w:t>。</w:t>
      </w:r>
    </w:p>
    <w:p>
      <w:pPr>
        <w:numPr>
          <w:numId w:val="46"/>
        </w:numPr>
        <w:spacing w:before="120" w:after="120" w:line="288" w:lineRule="auto"/>
        <w:ind w:left="1360"/>
        <w:jc w:val="left"/>
      </w:pPr>
      <w:r>
        <w:rPr>
          <w:rFonts w:eastAsia="等线" w:ascii="Arial" w:cs="Arial" w:hAnsi="Arial"/>
          <w:b w:val="true"/>
          <w:sz w:val="22"/>
        </w:rPr>
        <w:t>功能描述</w:t>
      </w:r>
    </w:p>
    <w:p>
      <w:pPr>
        <w:spacing w:before="120" w:after="120" w:line="288" w:lineRule="auto"/>
        <w:ind w:left="1360"/>
        <w:jc w:val="left"/>
      </w:pPr>
      <w:r>
        <w:rPr>
          <w:rFonts w:eastAsia="等线" w:ascii="Arial" w:cs="Arial" w:hAnsi="Arial"/>
          <w:color w:val="245bdb"/>
          <w:sz w:val="22"/>
        </w:rPr>
        <w:t>申请单中包含基础信息，检测项目，附加信息/材料</w:t>
      </w:r>
      <w:r>
        <w:rPr>
          <w:rFonts w:eastAsia="等线" w:ascii="Arial" w:cs="Arial" w:hAnsi="Arial"/>
          <w:color w:val="245bdb"/>
          <w:sz w:val="22"/>
        </w:rPr>
        <w:t>，还具有已经完成的流程节点记录。</w:t>
      </w:r>
    </w:p>
    <w:p>
      <w:pPr>
        <w:numPr>
          <w:numId w:val="47"/>
        </w:numPr>
        <w:spacing w:before="120" w:after="120" w:line="288" w:lineRule="auto"/>
        <w:ind w:left="1360"/>
        <w:jc w:val="left"/>
      </w:pPr>
      <w:r>
        <w:rPr>
          <w:rFonts w:eastAsia="等线" w:ascii="Arial" w:cs="Arial" w:hAnsi="Arial"/>
          <w:b w:val="true"/>
          <w:sz w:val="22"/>
        </w:rPr>
        <w:t>需求说明</w:t>
      </w:r>
    </w:p>
    <w:p>
      <w:pPr>
        <w:spacing w:before="120" w:after="120" w:line="288" w:lineRule="auto"/>
        <w:ind w:left="1360"/>
        <w:jc w:val="left"/>
      </w:pPr>
      <w:r>
        <w:rPr>
          <w:rFonts w:eastAsia="等线" w:ascii="Arial" w:cs="Arial" w:hAnsi="Arial"/>
          <w:color w:val="245bdb"/>
          <w:sz w:val="22"/>
        </w:rPr>
        <w:t>（1）</w:t>
      </w:r>
      <w:r>
        <w:rPr>
          <w:rFonts w:eastAsia="等线" w:ascii="Arial" w:cs="Arial" w:hAnsi="Arial"/>
          <w:color w:val="245bdb"/>
          <w:sz w:val="22"/>
        </w:rPr>
        <w:t>申请单会维护一个已经完成的流程节点的记录，在添加新的流程节点记录不会受到申请单当前已经完成的流程节点记录的约束。申请单可能会添加流程节点类型如下：</w:t>
      </w:r>
    </w:p>
    <w:p>
      <w:pPr>
        <w:spacing w:before="120" w:after="120" w:line="288" w:lineRule="auto"/>
        <w:ind w:left="1360"/>
        <w:jc w:val="left"/>
      </w:pPr>
      <w:r>
        <w:rPr>
          <w:rFonts w:eastAsia="Consolas" w:ascii="Consolas" w:cs="Consolas" w:hAnsi="Consolas"/>
          <w:sz w:val="22"/>
          <w:shd w:fill="EFF0F1"/>
        </w:rPr>
        <w:t>待</w:t>
      </w:r>
      <w:r>
        <w:rPr>
          <w:rFonts w:eastAsia="Consolas" w:ascii="Consolas" w:cs="Consolas" w:hAnsi="Consolas"/>
          <w:sz w:val="22"/>
          <w:shd w:fill="EFF0F1"/>
        </w:rPr>
        <w:t>审核</w:t>
      </w:r>
      <w:r>
        <w:rPr>
          <w:rFonts w:eastAsia="等线" w:ascii="Arial" w:cs="Arial" w:hAnsi="Arial"/>
          <w:sz w:val="22"/>
        </w:rPr>
        <w:t xml:space="preserve"> </w:t>
      </w:r>
      <w:r>
        <w:rPr>
          <w:rFonts w:eastAsia="Consolas" w:ascii="Consolas" w:cs="Consolas" w:hAnsi="Consolas"/>
          <w:sz w:val="22"/>
          <w:shd w:fill="EFF0F1"/>
        </w:rPr>
        <w:t>已审核</w:t>
      </w:r>
      <w:r>
        <w:rPr>
          <w:rFonts w:eastAsia="等线" w:ascii="Arial" w:cs="Arial" w:hAnsi="Arial"/>
          <w:sz w:val="22"/>
        </w:rPr>
        <w:t xml:space="preserve"> </w:t>
      </w:r>
      <w:r>
        <w:rPr>
          <w:rFonts w:eastAsia="Consolas" w:ascii="Consolas" w:cs="Consolas" w:hAnsi="Consolas"/>
          <w:sz w:val="22"/>
          <w:shd w:fill="EFF0F1"/>
        </w:rPr>
        <w:t>样本接收中</w:t>
      </w:r>
      <w:r>
        <w:rPr>
          <w:rFonts w:eastAsia="等线" w:ascii="Arial" w:cs="Arial" w:hAnsi="Arial"/>
          <w:sz w:val="22"/>
        </w:rPr>
        <w:t xml:space="preserve"> </w:t>
      </w:r>
      <w:r>
        <w:rPr>
          <w:rFonts w:eastAsia="Consolas" w:ascii="Consolas" w:cs="Consolas" w:hAnsi="Consolas"/>
          <w:sz w:val="22"/>
          <w:shd w:fill="EFF0F1"/>
        </w:rPr>
        <w:t>质控中</w:t>
      </w:r>
      <w:r>
        <w:rPr>
          <w:rFonts w:eastAsia="等线" w:ascii="Arial" w:cs="Arial" w:hAnsi="Arial"/>
          <w:sz w:val="22"/>
        </w:rPr>
        <w:t xml:space="preserve"> </w:t>
      </w:r>
      <w:r>
        <w:rPr>
          <w:rFonts w:eastAsia="Consolas" w:ascii="Consolas" w:cs="Consolas" w:hAnsi="Consolas"/>
          <w:sz w:val="22"/>
          <w:shd w:fill="EFF0F1"/>
        </w:rPr>
        <w:t>检测中</w:t>
      </w:r>
      <w:r>
        <w:rPr>
          <w:rFonts w:eastAsia="等线" w:ascii="Arial" w:cs="Arial" w:hAnsi="Arial"/>
          <w:sz w:val="22"/>
        </w:rPr>
        <w:t xml:space="preserve"> </w:t>
      </w:r>
      <w:r>
        <w:rPr>
          <w:rFonts w:eastAsia="Consolas" w:ascii="Consolas" w:cs="Consolas" w:hAnsi="Consolas"/>
          <w:sz w:val="22"/>
          <w:shd w:fill="EFF0F1"/>
        </w:rPr>
        <w:t>报告生成</w:t>
      </w:r>
    </w:p>
    <w:p>
      <w:pPr>
        <w:spacing w:before="120" w:after="120" w:line="288" w:lineRule="auto"/>
        <w:ind w:left="1360"/>
        <w:jc w:val="left"/>
      </w:pPr>
      <w:r>
        <w:rPr>
          <w:rFonts w:eastAsia="等线" w:ascii="Arial" w:cs="Arial" w:hAnsi="Arial"/>
          <w:color w:val="245bdb"/>
          <w:sz w:val="22"/>
        </w:rPr>
        <w:t>（2）</w:t>
      </w:r>
      <w:r>
        <w:rPr>
          <w:rFonts w:eastAsia="等线" w:ascii="Arial" w:cs="Arial" w:hAnsi="Arial"/>
          <w:color w:val="245bdb"/>
          <w:sz w:val="22"/>
        </w:rPr>
        <w:t>提交申请单</w:t>
      </w:r>
      <w:r>
        <w:rPr>
          <w:rFonts w:eastAsia="等线" w:ascii="Arial" w:cs="Arial" w:hAnsi="Arial"/>
          <w:color w:val="245bdb"/>
          <w:sz w:val="22"/>
        </w:rPr>
        <w:t>并获得中心医院审批</w:t>
      </w:r>
      <w:r>
        <w:rPr>
          <w:rFonts w:eastAsia="等线" w:ascii="Arial" w:cs="Arial" w:hAnsi="Arial"/>
          <w:color w:val="245bdb"/>
          <w:sz w:val="22"/>
        </w:rPr>
        <w:t>之后</w:t>
      </w:r>
      <w:r>
        <w:rPr>
          <w:rFonts w:eastAsia="等线" w:ascii="Arial" w:cs="Arial" w:hAnsi="Arial"/>
          <w:color w:val="245bdb"/>
          <w:sz w:val="22"/>
        </w:rPr>
        <w:t>，</w:t>
      </w:r>
      <w:r>
        <w:rPr>
          <w:rFonts w:eastAsia="等线" w:ascii="Arial" w:cs="Arial" w:hAnsi="Arial"/>
          <w:color w:val="245bdb"/>
          <w:sz w:val="22"/>
        </w:rPr>
        <w:t>可以查看详情，基层医院人员可以在详情新增附加材料，修改附加信息（</w:t>
      </w:r>
      <w:r>
        <w:rPr>
          <w:rFonts w:eastAsia="等线" w:ascii="Arial" w:cs="Arial" w:hAnsi="Arial"/>
          <w:color w:val="245bdb"/>
          <w:sz w:val="22"/>
        </w:rPr>
        <w:t>如</w:t>
      </w:r>
      <w:r>
        <w:rPr>
          <w:rFonts w:eastAsia="等线" w:ascii="Arial" w:cs="Arial" w:hAnsi="Arial"/>
          <w:b w:val="true"/>
          <w:color w:val="245bdb"/>
          <w:sz w:val="22"/>
        </w:rPr>
        <w:t>送检信息、临床诊断信息、样本信息</w:t>
      </w:r>
      <w:r>
        <w:rPr>
          <w:rFonts w:eastAsia="等线" w:ascii="Arial" w:cs="Arial" w:hAnsi="Arial"/>
          <w:color w:val="245bdb"/>
          <w:sz w:val="22"/>
        </w:rPr>
        <w:t>）。</w:t>
      </w:r>
    </w:p>
    <w:p>
      <w:pPr>
        <w:spacing w:before="120" w:after="120" w:line="288" w:lineRule="auto"/>
        <w:ind w:left="1360"/>
        <w:jc w:val="left"/>
      </w:pPr>
      <w:r>
        <w:rPr>
          <w:rFonts w:eastAsia="等线" w:ascii="Arial" w:cs="Arial" w:hAnsi="Arial"/>
          <w:color w:val="245bdb"/>
          <w:sz w:val="22"/>
        </w:rPr>
        <w:t>（3）</w:t>
      </w:r>
      <w:r>
        <w:rPr>
          <w:rFonts w:eastAsia="等线" w:ascii="Arial" w:cs="Arial" w:hAnsi="Arial"/>
          <w:color w:val="245bdb"/>
          <w:sz w:val="22"/>
        </w:rPr>
        <w:t>修改详情需要在列表页点击详情进入详情页面，然后每个分区都可以单独修改，修改是通过弹窗显示一个表单，在表单中去修改或者上传材料，项目的编辑也是弹窗显示已经选择的项目，在弹窗里面可以进行编辑也可以进行新增。</w:t>
      </w:r>
    </w:p>
    <w:p>
      <w:pPr>
        <w:spacing w:before="120" w:after="120" w:line="288" w:lineRule="auto"/>
        <w:ind w:left="1360"/>
        <w:jc w:val="left"/>
      </w:pPr>
      <w:r>
        <w:rPr>
          <w:rFonts w:eastAsia="等线" w:ascii="Arial" w:cs="Arial" w:hAnsi="Arial"/>
          <w:color w:val="245bdb"/>
          <w:sz w:val="22"/>
        </w:rPr>
        <w:t>（4）</w:t>
      </w:r>
      <w:r>
        <w:rPr>
          <w:rFonts w:eastAsia="等线" w:ascii="Arial" w:cs="Arial" w:hAnsi="Arial"/>
          <w:color w:val="245bdb"/>
          <w:sz w:val="22"/>
        </w:rPr>
        <w:t>基础信息的修改必须在审核通过之前，附加材料和项目的编辑是可以随时进行新增和修改的，基层医院可以</w:t>
      </w:r>
      <w:r>
        <w:rPr>
          <w:rFonts w:eastAsia="等线" w:ascii="Arial" w:cs="Arial" w:hAnsi="Arial"/>
          <w:color w:val="245bdb"/>
          <w:sz w:val="22"/>
        </w:rPr>
        <w:t>获知</w:t>
      </w:r>
      <w:r>
        <w:rPr>
          <w:rFonts w:eastAsia="等线" w:ascii="Arial" w:cs="Arial" w:hAnsi="Arial"/>
          <w:color w:val="245bdb"/>
          <w:sz w:val="22"/>
        </w:rPr>
        <w:t>中心医院的标本验收消息，标本质控消息来新增/修改材料和项目。</w:t>
      </w:r>
    </w:p>
    <w:p>
      <w:pPr>
        <w:pStyle w:val="3"/>
        <w:spacing w:before="300" w:after="120" w:line="288" w:lineRule="auto"/>
        <w:ind w:left="907"/>
        <w:jc w:val="left"/>
        <w:outlineLvl w:val="2"/>
      </w:pPr>
      <w:bookmarkStart w:name="heading_17" w:id="17"/>
      <w:r>
        <w:rPr>
          <w:rFonts w:eastAsia="等线" w:ascii="Arial" w:cs="Arial" w:hAnsi="Arial"/>
          <w:color w:val="3370ff"/>
          <w:sz w:val="30"/>
        </w:rPr>
        <w:t xml:space="preserve">4.1.6 </w:t>
      </w:r>
      <w:r>
        <w:rPr>
          <w:rFonts w:eastAsia="等线" w:ascii="Arial" w:cs="Arial" w:hAnsi="Arial"/>
          <w:b w:val="true"/>
          <w:sz w:val="30"/>
        </w:rPr>
        <w:t>申请单流程记录</w:t>
      </w:r>
      <w:bookmarkEnd w:id="17"/>
    </w:p>
    <w:p>
      <w:pPr>
        <w:numPr>
          <w:numId w:val="48"/>
        </w:numPr>
        <w:spacing w:before="120" w:after="120" w:line="288" w:lineRule="auto"/>
        <w:ind w:left="1360"/>
        <w:jc w:val="left"/>
      </w:pPr>
      <w:r>
        <w:rPr>
          <w:rFonts w:eastAsia="等线" w:ascii="Arial" w:cs="Arial" w:hAnsi="Arial"/>
          <w:b w:val="true"/>
          <w:sz w:val="22"/>
        </w:rPr>
        <w:t>用户场景</w:t>
      </w:r>
    </w:p>
    <w:p>
      <w:pPr>
        <w:spacing w:before="120" w:after="120" w:line="288" w:lineRule="auto"/>
        <w:ind w:left="1360"/>
        <w:jc w:val="left"/>
      </w:pPr>
      <w:r>
        <w:rPr>
          <w:rFonts w:eastAsia="等线" w:ascii="Arial" w:cs="Arial" w:hAnsi="Arial"/>
          <w:color w:val="245bdb"/>
          <w:sz w:val="22"/>
        </w:rPr>
        <w:t>基层医院医生提交申请单后，其在平台上的处理过程涉及多个环节和操作人员。为方便医生查看申请进度、处理结果、报告状态等信息，也便于质控和溯源，需要在申请单详情页中展示所有关键流程节点的记录信息，以可视化、结构化的形式呈现整个处理轨迹。</w:t>
      </w:r>
    </w:p>
    <w:p>
      <w:pPr>
        <w:numPr>
          <w:numId w:val="49"/>
        </w:numPr>
        <w:spacing w:before="120" w:after="120" w:line="288" w:lineRule="auto"/>
        <w:ind w:left="1360"/>
        <w:jc w:val="left"/>
      </w:pPr>
      <w:r>
        <w:rPr>
          <w:rFonts w:eastAsia="等线" w:ascii="Arial" w:cs="Arial" w:hAnsi="Arial"/>
          <w:b w:val="true"/>
          <w:sz w:val="22"/>
        </w:rPr>
        <w:t>功能描述</w:t>
      </w:r>
    </w:p>
    <w:p>
      <w:pPr>
        <w:spacing w:before="120" w:after="120" w:line="288" w:lineRule="auto"/>
        <w:ind w:left="1360"/>
        <w:jc w:val="left"/>
      </w:pPr>
      <w:r>
        <w:rPr>
          <w:rFonts w:eastAsia="等线" w:ascii="Arial" w:cs="Arial" w:hAnsi="Arial"/>
          <w:color w:val="245bdb"/>
          <w:sz w:val="22"/>
        </w:rPr>
        <w:t>系统需记录申请单从提交、审核、样本接收、检测到报告上传等全流程中的关键节点，并在详情页以时间顺序展示每一条记录。流程记录应清晰标明处理环节、操作人、处理结果、发生时间及备注内容，便于追踪与分析。</w:t>
      </w:r>
    </w:p>
    <w:p>
      <w:pPr>
        <w:numPr>
          <w:numId w:val="50"/>
        </w:numPr>
        <w:spacing w:before="120" w:after="120" w:line="288" w:lineRule="auto"/>
        <w:ind w:left="1360"/>
        <w:jc w:val="left"/>
      </w:pPr>
      <w:r>
        <w:rPr>
          <w:rFonts w:eastAsia="等线" w:ascii="Arial" w:cs="Arial" w:hAnsi="Arial"/>
          <w:b w:val="true"/>
          <w:sz w:val="22"/>
        </w:rPr>
        <w:t>需求说明</w:t>
      </w:r>
    </w:p>
    <w:p>
      <w:pPr>
        <w:spacing w:before="120" w:after="120" w:line="288" w:lineRule="auto"/>
        <w:ind w:left="1360"/>
        <w:jc w:val="left"/>
      </w:pPr>
      <w:r>
        <w:rPr>
          <w:rFonts w:eastAsia="等线" w:ascii="Arial" w:cs="Arial" w:hAnsi="Arial"/>
          <w:color w:val="245bdb"/>
          <w:sz w:val="22"/>
        </w:rPr>
        <w:t>使用「时间轴」组件（Timeline）呈现，每条记录按时间倒序排列，支持在每个节点上展示图标 + 操作标题 + 时间 + 操作人 + 处理结果 + 备注，可根据流程阶段使用不同颜色或图标表示状态（如提交、成功、退检、异常等）。</w:t>
      </w:r>
    </w:p>
    <w:p>
      <w:pPr>
        <w:spacing w:before="120" w:after="120" w:line="288" w:lineRule="auto"/>
        <w:ind w:left="1360"/>
        <w:jc w:val="left"/>
      </w:pPr>
      <w:r>
        <w:rPr>
          <w:rFonts w:eastAsia="等线" w:ascii="Arial" w:cs="Arial" w:hAnsi="Arial"/>
          <w:color w:val="245bdb"/>
          <w:sz w:val="22"/>
        </w:rPr>
        <w:t>记录内容类型（流程节点）</w:t>
      </w:r>
    </w:p>
    <w:p>
      <w:pPr>
        <w:spacing w:before="120" w:after="120" w:line="288" w:lineRule="auto"/>
        <w:ind w:left="1814"/>
      </w:pPr>
      <w:r>
        <w:object>
          <v:shapetype coordsize="21600,21600" filled="f" id="_x0000_t75" o:preferrelative="t" path="m@4@5l@4@11@9@11@9@5xe" stroked="f" o:spt="75.0">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i1025" style="width:414pt;height:197pt;mso-width-percent:0;mso-height-percent:0;mso-width-percent:0;mso-height-percent:0" type="#_x0000_t75" o:ole="">
            <v:imagedata r:id="rId8" o:title=""/>
          </v:shape>
          <o:OLEObject DrawAspect="Icon" ObjectID="_1718471219" ProgID="Excel.Sheet.12" ShapeID="_x0000_i1025" Type="Embed" r:id="rId7"/>
        </w:object>
      </w:r>
    </w:p>
    <w:p>
      <w:pPr>
        <w:spacing w:after="120"/>
        <w:ind w:left="1814"/>
        <w:jc w:val="center"/>
      </w:pPr>
      <w:r>
        <w:rPr>
          <w:rFonts w:eastAsia="等线" w:ascii="Arial" w:cs="Arial" w:hAnsi="Arial"/>
          <w:b w:val="true"/>
          <w:sz w:val="22"/>
        </w:rPr>
        <w:t>点击图片可查看完整电子表格</w:t>
      </w:r>
    </w:p>
    <w:tbl>
      <w:tblPr>
        <w:tblW w:w="0" w:type="auto"/>
        <w:tblInd w:w="1814" w:type="dxa"/>
        <w:tblBorders>
          <w:top w:val="single"/>
          <w:left w:val="single"/>
          <w:bottom w:val="single"/>
          <w:right w:val="single"/>
          <w:insideH w:val="single"/>
          <w:insideV w:val="single"/>
        </w:tblBorders>
        <w:tblLayout w:type="fixed"/>
      </w:tblPr>
      <w:tblGrid>
        <w:gridCol w:w="6466"/>
      </w:tblGrid>
      <w:tr>
        <w:tc>
          <w:tcPr>
            <w:tcW w:w="6466" w:type="dxa"/>
            <w:tcBorders>
              <w:top w:val="nil"/>
              <w:left w:sz="18" w:val="single" w:color="BBBFC4"/>
              <w:bottom w:val="nil"/>
              <w:right w:val="nil"/>
            </w:tcBorders>
            <w:tcMar>
              <w:top w:type="dxa" w:w="60"/>
              <w:left w:type="dxa" w:w="120"/>
              <w:bottom w:type="dxa" w:w="30"/>
              <w:right w:type="dxa" w:w="120"/>
            </w:tcMar>
          </w:tcPr>
          <w:p>
            <w:pPr>
              <w:spacing w:before="120" w:after="120" w:line="288" w:lineRule="auto"/>
              <w:ind w:left="0"/>
              <w:jc w:val="left"/>
            </w:pPr>
            <w:r>
              <w:rPr>
                <w:rFonts w:eastAsia="等线" w:ascii="Arial" w:cs="Arial" w:hAnsi="Arial"/>
                <w:color w:val="646a73"/>
                <w:sz w:val="22"/>
              </w:rPr>
              <w:t>说明：每条记录应携带时间戳、操作人、处理状态及相关说明，支持在 hover 或点击查看详细内容。</w:t>
            </w:r>
          </w:p>
        </w:tc>
      </w:tr>
    </w:tbl>
    <w:p>
      <w:pPr>
        <w:spacing w:before="120" w:after="120" w:line="288" w:lineRule="auto"/>
        <w:ind w:left="1360"/>
        <w:jc w:val="left"/>
      </w:pPr>
      <w:r>
        <w:rPr>
          <w:rFonts w:eastAsia="等线" w:ascii="Arial" w:cs="Arial" w:hAnsi="Arial"/>
          <w:color w:val="245bdb"/>
          <w:sz w:val="22"/>
        </w:rPr>
        <w:t>在申请单详情页中，单独添加一个 tab 页或模块（card 布局），流程明细中可以查看操作人，如果是退检，能显示出退检的项目，可以链接到项目中，查看项目的具体情况，报告上传也是，可以点击报告的链接，报告的详情。</w:t>
      </w:r>
    </w:p>
    <w:p>
      <w:pPr>
        <w:pStyle w:val="2"/>
        <w:spacing w:before="320" w:after="120" w:line="288" w:lineRule="auto"/>
        <w:ind w:left="453"/>
        <w:jc w:val="left"/>
        <w:outlineLvl w:val="1"/>
      </w:pPr>
      <w:bookmarkStart w:name="heading_18" w:id="18"/>
      <w:r>
        <w:rPr>
          <w:rFonts w:eastAsia="等线" w:ascii="Arial" w:cs="Arial" w:hAnsi="Arial"/>
          <w:color w:val="3370ff"/>
          <w:sz w:val="32"/>
        </w:rPr>
        <w:t xml:space="preserve">4.2 </w:t>
      </w:r>
      <w:r>
        <w:rPr>
          <w:rFonts w:eastAsia="等线" w:ascii="Arial" w:cs="Arial" w:hAnsi="Arial"/>
          <w:b w:val="true"/>
          <w:sz w:val="32"/>
        </w:rPr>
        <w:t>标本验收</w:t>
      </w:r>
      <w:bookmarkEnd w:id="18"/>
    </w:p>
    <w:p>
      <w:pPr>
        <w:pStyle w:val="3"/>
        <w:spacing w:before="300" w:after="120" w:line="288" w:lineRule="auto"/>
        <w:ind w:left="907"/>
        <w:jc w:val="left"/>
        <w:outlineLvl w:val="2"/>
      </w:pPr>
      <w:bookmarkStart w:name="heading_19" w:id="19"/>
      <w:r>
        <w:rPr>
          <w:rFonts w:eastAsia="等线" w:ascii="Arial" w:cs="Arial" w:hAnsi="Arial"/>
          <w:color w:val="3370ff"/>
          <w:sz w:val="30"/>
        </w:rPr>
        <w:t xml:space="preserve">4.2.1 </w:t>
      </w:r>
      <w:r>
        <w:rPr>
          <w:rFonts w:eastAsia="等线" w:ascii="Arial" w:cs="Arial" w:hAnsi="Arial"/>
          <w:b w:val="true"/>
          <w:sz w:val="30"/>
        </w:rPr>
        <w:t>样本接收审批</w:t>
      </w:r>
      <w:bookmarkEnd w:id="19"/>
    </w:p>
    <w:p>
      <w:pPr>
        <w:numPr>
          <w:numId w:val="51"/>
        </w:numPr>
        <w:spacing w:before="120" w:after="120" w:line="288" w:lineRule="auto"/>
        <w:ind w:left="1360"/>
        <w:jc w:val="left"/>
      </w:pPr>
      <w:r>
        <w:rPr>
          <w:rFonts w:eastAsia="等线" w:ascii="Arial" w:cs="Arial" w:hAnsi="Arial"/>
          <w:b w:val="true"/>
          <w:sz w:val="22"/>
        </w:rPr>
        <w:t>用户场景</w:t>
      </w:r>
    </w:p>
    <w:p>
      <w:pPr>
        <w:spacing w:before="120" w:after="120" w:line="288" w:lineRule="auto"/>
        <w:ind w:left="1360"/>
        <w:jc w:val="left"/>
      </w:pPr>
      <w:r>
        <w:rPr>
          <w:rFonts w:eastAsia="等线" w:ascii="Arial" w:cs="Arial" w:hAnsi="Arial"/>
          <w:color w:val="245bdb"/>
          <w:sz w:val="22"/>
        </w:rPr>
        <w:t>基层医院寄送样本并且添加物流信息之后，中心医院的医生需要对收到的样本进行核对</w:t>
      </w:r>
    </w:p>
    <w:p>
      <w:pPr>
        <w:numPr>
          <w:numId w:val="52"/>
        </w:numPr>
        <w:spacing w:before="120" w:after="120" w:line="288" w:lineRule="auto"/>
        <w:ind w:left="1360"/>
        <w:jc w:val="left"/>
      </w:pPr>
      <w:r>
        <w:rPr>
          <w:rFonts w:eastAsia="等线" w:ascii="Arial" w:cs="Arial" w:hAnsi="Arial"/>
          <w:b w:val="true"/>
          <w:sz w:val="22"/>
        </w:rPr>
        <w:t>功能描述</w:t>
      </w:r>
    </w:p>
    <w:p>
      <w:pPr>
        <w:spacing w:before="120" w:after="120" w:line="288" w:lineRule="auto"/>
        <w:ind w:left="1360"/>
        <w:jc w:val="left"/>
      </w:pPr>
      <w:r>
        <w:rPr>
          <w:rFonts w:eastAsia="等线" w:ascii="Arial" w:cs="Arial" w:hAnsi="Arial"/>
          <w:color w:val="245bdb"/>
          <w:sz w:val="22"/>
        </w:rPr>
        <w:t>审批样本是否缺失，查看选择的项目，审批是否需要补寄样本，或者加做项目</w:t>
      </w:r>
    </w:p>
    <w:p>
      <w:pPr>
        <w:numPr>
          <w:numId w:val="53"/>
        </w:numPr>
        <w:spacing w:before="120" w:after="120" w:line="288" w:lineRule="auto"/>
        <w:ind w:left="1360"/>
        <w:jc w:val="left"/>
      </w:pPr>
      <w:r>
        <w:rPr>
          <w:rFonts w:eastAsia="等线" w:ascii="Arial" w:cs="Arial" w:hAnsi="Arial"/>
          <w:b w:val="true"/>
          <w:sz w:val="22"/>
        </w:rPr>
        <w:t>需求说明</w:t>
      </w:r>
    </w:p>
    <w:p>
      <w:pPr>
        <w:spacing w:before="120" w:after="120" w:line="288" w:lineRule="auto"/>
        <w:ind w:left="1360" w:firstLine="420"/>
        <w:jc w:val="left"/>
      </w:pPr>
      <w:r>
        <w:rPr>
          <w:rFonts w:eastAsia="等线" w:ascii="Arial" w:cs="Arial" w:hAnsi="Arial"/>
          <w:color w:val="245bdb"/>
          <w:sz w:val="22"/>
        </w:rPr>
        <w:t xml:space="preserve">审批列表同样是一个列表的形式显示，列表显示患者信息、检测项目、送检信息，进入详情可以看到具体的项目缴费情况，以及物流的状态。中心医院的医生可以审批样本是否完整，审批是否需要补送样本，或者是否需要加做项目。在申请单中点击确认接收之后，已经缴费的检测项目会自动生成 </w:t>
      </w:r>
      <w:r>
        <w:rPr>
          <w:rFonts w:eastAsia="等线" w:ascii="Arial" w:cs="Arial" w:hAnsi="Arial"/>
          <w:b w:val="true"/>
          <w:color w:val="245bdb"/>
          <w:sz w:val="22"/>
        </w:rPr>
        <w:t>病理诊断编号</w:t>
      </w:r>
      <w:r>
        <w:rPr>
          <w:rFonts w:eastAsia="等线" w:ascii="Arial" w:cs="Arial" w:hAnsi="Arial"/>
          <w:color w:val="245bdb"/>
          <w:sz w:val="22"/>
        </w:rPr>
        <w:t>，用于后续的录入医院</w:t>
      </w:r>
      <w:r>
        <w:rPr>
          <w:rFonts w:eastAsia="等线" w:ascii="Arial" w:cs="Arial" w:hAnsi="Arial"/>
          <w:color w:val="245bdb"/>
          <w:sz w:val="22"/>
        </w:rPr>
        <w:t>已经存在</w:t>
      </w:r>
      <w:r>
        <w:rPr>
          <w:rFonts w:eastAsia="等线" w:ascii="Arial" w:cs="Arial" w:hAnsi="Arial"/>
          <w:color w:val="245bdb"/>
          <w:sz w:val="22"/>
        </w:rPr>
        <w:t>的系统。</w:t>
      </w:r>
    </w:p>
    <w:p>
      <w:pPr>
        <w:spacing w:before="120" w:after="120" w:line="288" w:lineRule="auto"/>
        <w:ind w:left="907" w:firstLine="420"/>
        <w:jc w:val="left"/>
      </w:pPr>
      <w:r>
        <w:rPr>
          <w:rFonts w:eastAsia="等线" w:ascii="Arial" w:cs="Arial" w:hAnsi="Arial"/>
          <w:color w:val="245bdb"/>
          <w:sz w:val="22"/>
        </w:rPr>
        <w:t>病理诊断编号的生成逻辑为XXX(1 或 3 位大写英文字母:项目类型)xx(两位数字:该项目发起年份)-XXXXX(5位数字:该大类下的检测项目在该年份的唯一编号)。</w:t>
      </w:r>
    </w:p>
    <w:p>
      <w:pPr>
        <w:spacing w:before="120" w:after="120" w:line="288" w:lineRule="auto"/>
        <w:ind w:left="907"/>
        <w:jc w:val="center"/>
      </w:pPr>
      <w:r>
        <w:drawing>
          <wp:inline distT="0" distR="0" distB="0" distL="0">
            <wp:extent cx="5257800" cy="2228850"/>
            <wp:docPr id="2" name="Drawing 2" descr=""/>
            <a:graphic xmlns:a="http://schemas.openxmlformats.org/drawingml/2006/main">
              <a:graphicData uri="http://schemas.openxmlformats.org/drawingml/2006/picture">
                <pic:pic xmlns:pic="http://schemas.openxmlformats.org/drawingml/2006/picture">
                  <pic:nvPicPr>
                    <pic:cNvPr id="0" name="Picture 2" descr=""/>
                    <pic:cNvPicPr>
                      <a:picLocks noChangeAspect="true"/>
                    </pic:cNvPicPr>
                  </pic:nvPicPr>
                  <pic:blipFill>
                    <a:blip r:embed="rId9"/>
                    <a:stretch>
                      <a:fillRect/>
                    </a:stretch>
                  </pic:blipFill>
                  <pic:spPr>
                    <a:xfrm>
                      <a:off x="0" y="0"/>
                      <a:ext cx="5257800" cy="2228850"/>
                    </a:xfrm>
                    <a:prstGeom prst="rect">
                      <a:avLst/>
                    </a:prstGeom>
                  </pic:spPr>
                </pic:pic>
              </a:graphicData>
            </a:graphic>
          </wp:inline>
        </w:drawing>
      </w:r>
    </w:p>
    <w:p>
      <w:pPr>
        <w:spacing w:before="120" w:after="120" w:line="288" w:lineRule="auto"/>
        <w:ind w:left="907"/>
        <w:jc w:val="center"/>
      </w:pPr>
      <w:r>
        <w:rPr>
          <w:rFonts w:eastAsia="等线" w:ascii="Arial" w:cs="Arial" w:hAnsi="Arial"/>
          <w:color w:val="8F959E"/>
          <w:sz w:val="22"/>
        </w:rPr>
        <w:t>病理诊断联合体编号</w:t>
        <w:br/>
      </w:r>
    </w:p>
    <w:p>
      <w:pPr>
        <w:pStyle w:val="3"/>
        <w:spacing w:before="300" w:after="120" w:line="288" w:lineRule="auto"/>
        <w:ind w:left="907"/>
        <w:jc w:val="left"/>
        <w:outlineLvl w:val="2"/>
      </w:pPr>
      <w:bookmarkStart w:name="heading_20" w:id="20"/>
      <w:r>
        <w:rPr>
          <w:rFonts w:eastAsia="等线" w:ascii="Arial" w:cs="Arial" w:hAnsi="Arial"/>
          <w:color w:val="3370ff"/>
          <w:sz w:val="30"/>
        </w:rPr>
        <w:t xml:space="preserve">4.2.2 </w:t>
      </w:r>
      <w:r>
        <w:rPr>
          <w:rFonts w:eastAsia="等线" w:ascii="Arial" w:cs="Arial" w:hAnsi="Arial"/>
          <w:b w:val="true"/>
          <w:sz w:val="30"/>
        </w:rPr>
        <w:t>质量检测</w:t>
      </w:r>
      <w:bookmarkEnd w:id="20"/>
    </w:p>
    <w:p>
      <w:pPr>
        <w:numPr>
          <w:numId w:val="54"/>
        </w:numPr>
        <w:spacing w:before="120" w:after="120" w:line="288" w:lineRule="auto"/>
        <w:ind w:left="1360"/>
        <w:jc w:val="left"/>
      </w:pPr>
      <w:r>
        <w:rPr>
          <w:rFonts w:eastAsia="等线" w:ascii="Arial" w:cs="Arial" w:hAnsi="Arial"/>
          <w:b w:val="true"/>
          <w:sz w:val="22"/>
        </w:rPr>
        <w:t>用户场景</w:t>
      </w:r>
    </w:p>
    <w:p>
      <w:pPr>
        <w:spacing w:before="120" w:after="120" w:line="288" w:lineRule="auto"/>
        <w:ind w:left="1360"/>
        <w:jc w:val="left"/>
      </w:pPr>
      <w:r>
        <w:rPr>
          <w:rFonts w:eastAsia="等线" w:ascii="Arial" w:cs="Arial" w:hAnsi="Arial"/>
          <w:color w:val="245bdb"/>
          <w:sz w:val="22"/>
        </w:rPr>
        <w:t>中心医院需要对样本进行质量检测，质量检测的目的是检验样本是否符合检测的基本要求，保证样本能进行后续的正式检测流程。若在质量检测完样本之后发现并不符合要求，需要对不符合要求的样本进行退回并通知基层医院进行</w:t>
      </w:r>
      <w:r>
        <w:rPr>
          <w:rFonts w:eastAsia="等线" w:ascii="Arial" w:cs="Arial" w:hAnsi="Arial"/>
          <w:color w:val="245bdb"/>
          <w:sz w:val="22"/>
        </w:rPr>
        <w:t>样本</w:t>
      </w:r>
      <w:r>
        <w:rPr>
          <w:rFonts w:eastAsia="等线" w:ascii="Arial" w:cs="Arial" w:hAnsi="Arial"/>
          <w:color w:val="245bdb"/>
          <w:sz w:val="22"/>
        </w:rPr>
        <w:t>的补寄。</w:t>
      </w:r>
    </w:p>
    <w:p>
      <w:pPr>
        <w:numPr>
          <w:numId w:val="55"/>
        </w:numPr>
        <w:spacing w:before="120" w:after="120" w:line="288" w:lineRule="auto"/>
        <w:ind w:left="1360"/>
        <w:jc w:val="left"/>
      </w:pPr>
      <w:r>
        <w:rPr>
          <w:rFonts w:eastAsia="等线" w:ascii="Arial" w:cs="Arial" w:hAnsi="Arial"/>
          <w:b w:val="true"/>
          <w:sz w:val="22"/>
        </w:rPr>
        <w:t>功能描述</w:t>
      </w:r>
    </w:p>
    <w:p>
      <w:pPr>
        <w:spacing w:before="120" w:after="120" w:line="288" w:lineRule="auto"/>
        <w:ind w:left="1360"/>
        <w:jc w:val="left"/>
      </w:pPr>
      <w:r>
        <w:rPr>
          <w:rFonts w:eastAsia="等线" w:ascii="Arial" w:cs="Arial" w:hAnsi="Arial"/>
          <w:color w:val="245bdb"/>
          <w:sz w:val="22"/>
        </w:rPr>
        <w:t>中央医院的医生需要审批</w:t>
      </w:r>
      <w:r>
        <w:rPr>
          <w:rFonts w:eastAsia="等线" w:ascii="Arial" w:cs="Arial" w:hAnsi="Arial"/>
          <w:color w:val="245bdb"/>
          <w:sz w:val="22"/>
        </w:rPr>
        <w:t>样本</w:t>
      </w:r>
      <w:r>
        <w:rPr>
          <w:rFonts w:eastAsia="等线" w:ascii="Arial" w:cs="Arial" w:hAnsi="Arial"/>
          <w:color w:val="245bdb"/>
          <w:sz w:val="22"/>
        </w:rPr>
        <w:t>是否满足正式检测要求，对满足要求的样本要进行确认和记录以进行正式检测，对不满足的要求的样本需要进行退回并填写样本不满足的指标和详细理由并通知基层医院</w:t>
      </w:r>
      <w:r>
        <w:rPr>
          <w:rFonts w:eastAsia="等线" w:ascii="Arial" w:cs="Arial" w:hAnsi="Arial"/>
          <w:color w:val="245bdb"/>
          <w:sz w:val="22"/>
        </w:rPr>
        <w:t>样本</w:t>
      </w:r>
      <w:r>
        <w:rPr>
          <w:rFonts w:eastAsia="等线" w:ascii="Arial" w:cs="Arial" w:hAnsi="Arial"/>
          <w:color w:val="245bdb"/>
          <w:sz w:val="22"/>
        </w:rPr>
        <w:t>已经退回的样本，同时通知需要补寄的样本的种类和数量。</w:t>
      </w:r>
    </w:p>
    <w:p>
      <w:pPr>
        <w:numPr>
          <w:numId w:val="56"/>
        </w:numPr>
        <w:spacing w:before="120" w:after="120" w:line="288" w:lineRule="auto"/>
        <w:ind w:left="1360"/>
        <w:jc w:val="left"/>
      </w:pPr>
      <w:r>
        <w:rPr>
          <w:rFonts w:eastAsia="等线" w:ascii="Arial" w:cs="Arial" w:hAnsi="Arial"/>
          <w:b w:val="true"/>
          <w:sz w:val="22"/>
        </w:rPr>
        <w:t>需求说明</w:t>
      </w:r>
    </w:p>
    <w:p>
      <w:pPr>
        <w:spacing w:before="120" w:after="120" w:line="288" w:lineRule="auto"/>
        <w:ind w:left="1360"/>
        <w:jc w:val="left"/>
      </w:pPr>
      <w:r>
        <w:rPr>
          <w:rFonts w:eastAsia="等线" w:ascii="Arial" w:cs="Arial" w:hAnsi="Arial"/>
          <w:color w:val="245bdb"/>
          <w:sz w:val="22"/>
        </w:rPr>
        <w:t>若样本不符合检测要求则进行退检信息和理由的填写、并填写要求基层医院医生补寄样本的种类和数量。不符合要求的样本需要填写的信息如下：</w:t>
      </w:r>
    </w:p>
    <w:p>
      <w:pPr>
        <w:numPr>
          <w:numId w:val="57"/>
        </w:numPr>
        <w:spacing w:before="120" w:after="120" w:line="288" w:lineRule="auto"/>
        <w:ind w:left="1360"/>
        <w:jc w:val="left"/>
      </w:pPr>
      <w:r>
        <w:rPr>
          <w:rFonts w:eastAsia="等线" w:ascii="Arial" w:cs="Arial" w:hAnsi="Arial"/>
          <w:color w:val="245bdb"/>
          <w:sz w:val="22"/>
        </w:rPr>
        <w:t>不符合标准的</w:t>
      </w:r>
      <w:r>
        <w:rPr>
          <w:rFonts w:eastAsia="等线" w:ascii="Arial" w:cs="Arial" w:hAnsi="Arial"/>
          <w:color w:val="245bdb"/>
          <w:sz w:val="22"/>
        </w:rPr>
        <w:t>样本</w:t>
      </w:r>
      <w:r>
        <w:rPr>
          <w:rFonts w:eastAsia="等线" w:ascii="Arial" w:cs="Arial" w:hAnsi="Arial"/>
          <w:color w:val="245bdb"/>
          <w:sz w:val="22"/>
        </w:rPr>
        <w:t>的种类和数量</w:t>
      </w:r>
    </w:p>
    <w:p>
      <w:pPr>
        <w:numPr>
          <w:numId w:val="58"/>
        </w:numPr>
        <w:spacing w:before="120" w:after="120" w:line="288" w:lineRule="auto"/>
        <w:ind w:left="1360"/>
        <w:jc w:val="left"/>
      </w:pPr>
      <w:r>
        <w:rPr>
          <w:rFonts w:eastAsia="等线" w:ascii="Arial" w:cs="Arial" w:hAnsi="Arial"/>
          <w:color w:val="245bdb"/>
          <w:sz w:val="22"/>
        </w:rPr>
        <w:t>样本退回的时间</w:t>
      </w:r>
    </w:p>
    <w:p>
      <w:pPr>
        <w:numPr>
          <w:numId w:val="59"/>
        </w:numPr>
        <w:spacing w:before="120" w:after="120" w:line="288" w:lineRule="auto"/>
        <w:ind w:left="1360"/>
        <w:jc w:val="left"/>
      </w:pPr>
      <w:r>
        <w:rPr>
          <w:rFonts w:eastAsia="等线" w:ascii="Arial" w:cs="Arial" w:hAnsi="Arial"/>
          <w:color w:val="245bdb"/>
          <w:sz w:val="22"/>
        </w:rPr>
        <w:t>要求补寄以及补寄样品的种类和数量</w:t>
      </w:r>
    </w:p>
    <w:p>
      <w:pPr>
        <w:numPr>
          <w:numId w:val="60"/>
        </w:numPr>
        <w:spacing w:before="120" w:after="120" w:line="288" w:lineRule="auto"/>
        <w:ind w:left="1360"/>
        <w:jc w:val="left"/>
      </w:pPr>
      <w:r>
        <w:rPr>
          <w:rFonts w:eastAsia="等线" w:ascii="Arial" w:cs="Arial" w:hAnsi="Arial"/>
          <w:color w:val="245bdb"/>
          <w:sz w:val="22"/>
        </w:rPr>
        <w:t>样本不符合的原因：填写样品不符合的原因，方便基层医院医生采样参考。</w:t>
      </w:r>
    </w:p>
    <w:p>
      <w:pPr>
        <w:numPr>
          <w:numId w:val="61"/>
        </w:numPr>
        <w:spacing w:before="120" w:after="120" w:line="288" w:lineRule="auto"/>
        <w:ind w:left="1814"/>
        <w:jc w:val="left"/>
      </w:pPr>
      <w:r>
        <w:rPr>
          <w:rFonts w:eastAsia="等线" w:ascii="Arial" w:cs="Arial" w:hAnsi="Arial"/>
          <w:color w:val="245bdb"/>
          <w:sz w:val="22"/>
        </w:rPr>
        <w:t>在常用的不符合要求的原因中选择某项原因（如：组织病理的PDL1不足100个肿瘤细胞、分子病理的肿瘤比例没有达到检测要求的比例）</w:t>
      </w:r>
    </w:p>
    <w:p>
      <w:pPr>
        <w:numPr>
          <w:numId w:val="62"/>
        </w:numPr>
        <w:spacing w:before="120" w:after="120" w:line="288" w:lineRule="auto"/>
        <w:ind w:left="1814"/>
        <w:jc w:val="left"/>
      </w:pPr>
      <w:r>
        <w:rPr>
          <w:rFonts w:eastAsia="等线" w:ascii="Arial" w:cs="Arial" w:hAnsi="Arial"/>
          <w:color w:val="245bdb"/>
          <w:sz w:val="22"/>
        </w:rPr>
        <w:t>若常用原因内没有此次检测中的原因需要检测医生在文本框中填写具体的退检原因和相关备注。</w:t>
      </w:r>
    </w:p>
    <w:p>
      <w:pPr>
        <w:spacing w:before="120" w:after="120" w:line="288" w:lineRule="auto"/>
        <w:ind w:left="1360"/>
        <w:jc w:val="left"/>
      </w:pPr>
      <w:r>
        <w:rPr>
          <w:rFonts w:eastAsia="等线" w:ascii="Arial" w:cs="Arial" w:hAnsi="Arial"/>
          <w:color w:val="245bdb"/>
          <w:sz w:val="22"/>
        </w:rPr>
        <w:t>若样本符合检测要求则需要点击审批通过，通过病理诊断编号进入对应的项目审批页面，确认样本的质量检测结果符合要求，点击页面内的审批通过按钮，添加样本的质控合规信息和可能需要的备注，样品通过所有质控环节后即可开始正式的检测流程。</w:t>
      </w:r>
    </w:p>
    <w:p>
      <w:pPr>
        <w:pStyle w:val="2"/>
        <w:spacing w:before="320" w:after="120" w:line="288" w:lineRule="auto"/>
        <w:ind w:left="453"/>
        <w:jc w:val="left"/>
        <w:outlineLvl w:val="1"/>
      </w:pPr>
      <w:bookmarkStart w:name="heading_21" w:id="21"/>
      <w:r>
        <w:rPr>
          <w:rFonts w:eastAsia="等线" w:ascii="Arial" w:cs="Arial" w:hAnsi="Arial"/>
          <w:color w:val="3370ff"/>
          <w:sz w:val="32"/>
        </w:rPr>
        <w:t xml:space="preserve">4.3 </w:t>
      </w:r>
      <w:r>
        <w:rPr>
          <w:rFonts w:eastAsia="等线" w:ascii="Arial" w:cs="Arial" w:hAnsi="Arial"/>
          <w:b w:val="true"/>
          <w:sz w:val="32"/>
        </w:rPr>
        <w:t>物流管理</w:t>
      </w:r>
      <w:bookmarkEnd w:id="21"/>
    </w:p>
    <w:p>
      <w:pPr>
        <w:pStyle w:val="3"/>
        <w:spacing w:before="300" w:after="120" w:line="288" w:lineRule="auto"/>
        <w:ind w:left="907"/>
        <w:jc w:val="left"/>
        <w:outlineLvl w:val="2"/>
      </w:pPr>
      <w:bookmarkStart w:name="heading_22" w:id="22"/>
      <w:r>
        <w:rPr>
          <w:rFonts w:eastAsia="等线" w:ascii="Arial" w:cs="Arial" w:hAnsi="Arial"/>
          <w:color w:val="3370ff"/>
          <w:sz w:val="30"/>
        </w:rPr>
        <w:t xml:space="preserve">4.3.1 </w:t>
      </w:r>
      <w:r>
        <w:rPr>
          <w:rFonts w:eastAsia="等线" w:ascii="Arial" w:cs="Arial" w:hAnsi="Arial"/>
          <w:b w:val="true"/>
          <w:sz w:val="30"/>
        </w:rPr>
        <w:t>物流信息</w:t>
      </w:r>
      <w:bookmarkEnd w:id="22"/>
    </w:p>
    <w:p>
      <w:pPr>
        <w:numPr>
          <w:numId w:val="63"/>
        </w:numPr>
        <w:spacing w:before="120" w:after="120" w:line="288" w:lineRule="auto"/>
        <w:ind w:left="1360"/>
        <w:jc w:val="left"/>
      </w:pPr>
      <w:r>
        <w:rPr>
          <w:rFonts w:eastAsia="等线" w:ascii="Arial" w:cs="Arial" w:hAnsi="Arial"/>
          <w:b w:val="true"/>
          <w:sz w:val="22"/>
        </w:rPr>
        <w:t>用户场景</w:t>
      </w:r>
    </w:p>
    <w:p>
      <w:pPr>
        <w:spacing w:before="120" w:after="120" w:line="288" w:lineRule="auto"/>
        <w:ind w:left="1360"/>
        <w:jc w:val="left"/>
      </w:pPr>
      <w:r>
        <w:rPr>
          <w:rFonts w:eastAsia="等线" w:ascii="Arial" w:cs="Arial" w:hAnsi="Arial"/>
          <w:color w:val="245bdb"/>
          <w:sz w:val="22"/>
        </w:rPr>
        <w:t>基层医院寄送样本，或者中心医院退回样本，需要新增物流信息</w:t>
      </w:r>
    </w:p>
    <w:p>
      <w:pPr>
        <w:numPr>
          <w:numId w:val="64"/>
        </w:numPr>
        <w:spacing w:before="120" w:after="120" w:line="288" w:lineRule="auto"/>
        <w:ind w:left="1360"/>
        <w:jc w:val="left"/>
      </w:pPr>
      <w:r>
        <w:rPr>
          <w:rFonts w:eastAsia="等线" w:ascii="Arial" w:cs="Arial" w:hAnsi="Arial"/>
          <w:b w:val="true"/>
          <w:sz w:val="22"/>
        </w:rPr>
        <w:t>功能描述</w:t>
      </w:r>
    </w:p>
    <w:p>
      <w:pPr>
        <w:spacing w:before="120" w:after="120" w:line="288" w:lineRule="auto"/>
        <w:ind w:left="1360"/>
        <w:jc w:val="left"/>
      </w:pPr>
      <w:r>
        <w:rPr>
          <w:rFonts w:eastAsia="等线" w:ascii="Arial" w:cs="Arial" w:hAnsi="Arial"/>
          <w:color w:val="245bdb"/>
          <w:sz w:val="22"/>
        </w:rPr>
        <w:t>物流信息是关联申请单的，申请单与物流信息是多对多的关系</w:t>
      </w:r>
    </w:p>
    <w:p>
      <w:pPr>
        <w:numPr>
          <w:numId w:val="65"/>
        </w:numPr>
        <w:spacing w:before="120" w:after="120" w:line="288" w:lineRule="auto"/>
        <w:ind w:left="1360"/>
        <w:jc w:val="left"/>
      </w:pPr>
      <w:r>
        <w:rPr>
          <w:rFonts w:eastAsia="等线" w:ascii="Arial" w:cs="Arial" w:hAnsi="Arial"/>
          <w:b w:val="true"/>
          <w:sz w:val="22"/>
        </w:rPr>
        <w:t>需求说明</w:t>
      </w:r>
    </w:p>
    <w:p>
      <w:pPr>
        <w:spacing w:before="120" w:after="120" w:line="288" w:lineRule="auto"/>
        <w:ind w:left="1360"/>
        <w:jc w:val="left"/>
      </w:pPr>
      <w:r>
        <w:rPr>
          <w:rFonts w:eastAsia="等线" w:ascii="Arial" w:cs="Arial" w:hAnsi="Arial"/>
          <w:color w:val="245bdb"/>
          <w:sz w:val="22"/>
        </w:rPr>
        <w:t>申请单与物流信息是多对多的关系，一个申请单可能会有多个物流信息，一个物流信息也可能关联多个申请单。</w:t>
      </w:r>
    </w:p>
    <w:p>
      <w:pPr>
        <w:spacing w:before="120" w:after="120" w:line="288" w:lineRule="auto"/>
        <w:ind w:left="1360"/>
        <w:jc w:val="left"/>
      </w:pPr>
      <w:r>
        <w:rPr>
          <w:rFonts w:eastAsia="等线" w:ascii="Arial" w:cs="Arial" w:hAnsi="Arial"/>
          <w:color w:val="245bdb"/>
          <w:sz w:val="22"/>
        </w:rPr>
        <w:t>物流信息属性包含：</w:t>
      </w:r>
    </w:p>
    <w:p>
      <w:pPr>
        <w:numPr>
          <w:numId w:val="66"/>
        </w:numPr>
        <w:spacing w:before="120" w:after="120" w:line="288" w:lineRule="auto"/>
        <w:ind w:left="1814"/>
        <w:jc w:val="left"/>
      </w:pPr>
      <w:r>
        <w:rPr>
          <w:rFonts w:eastAsia="等线" w:ascii="Arial" w:cs="Arial" w:hAnsi="Arial"/>
          <w:color w:val="245bdb"/>
          <w:sz w:val="22"/>
        </w:rPr>
        <w:t>物流单号（重要，必填，后续可以查询物流明细）</w:t>
      </w:r>
    </w:p>
    <w:p>
      <w:pPr>
        <w:numPr>
          <w:numId w:val="67"/>
        </w:numPr>
        <w:spacing w:before="120" w:after="120" w:line="288" w:lineRule="auto"/>
        <w:ind w:left="1814"/>
        <w:jc w:val="left"/>
      </w:pPr>
      <w:r>
        <w:rPr>
          <w:rFonts w:eastAsia="等线" w:ascii="Arial" w:cs="Arial" w:hAnsi="Arial"/>
          <w:color w:val="245bdb"/>
          <w:sz w:val="22"/>
        </w:rPr>
        <w:t>关联申请单（多选，基层医院寄送样本必选）</w:t>
      </w:r>
    </w:p>
    <w:p>
      <w:pPr>
        <w:numPr>
          <w:numId w:val="68"/>
        </w:numPr>
        <w:spacing w:before="120" w:after="120" w:line="288" w:lineRule="auto"/>
        <w:ind w:left="1814"/>
        <w:jc w:val="left"/>
      </w:pPr>
      <w:r>
        <w:rPr>
          <w:rFonts w:eastAsia="等线" w:ascii="Arial" w:cs="Arial" w:hAnsi="Arial"/>
          <w:color w:val="245bdb"/>
          <w:sz w:val="22"/>
        </w:rPr>
        <w:t>寄送单位（中心医院回寄需要填写）</w:t>
      </w:r>
    </w:p>
    <w:p>
      <w:pPr>
        <w:numPr>
          <w:numId w:val="69"/>
        </w:numPr>
        <w:spacing w:before="120" w:after="120" w:line="288" w:lineRule="auto"/>
        <w:ind w:left="1814"/>
        <w:jc w:val="left"/>
      </w:pPr>
      <w:r>
        <w:rPr>
          <w:rFonts w:eastAsia="等线" w:ascii="Arial" w:cs="Arial" w:hAnsi="Arial"/>
          <w:color w:val="245bdb"/>
          <w:sz w:val="22"/>
        </w:rPr>
        <w:t>物流单位：顺丰/邮政/其他三方</w:t>
      </w:r>
    </w:p>
    <w:p>
      <w:pPr>
        <w:numPr>
          <w:numId w:val="70"/>
        </w:numPr>
        <w:spacing w:before="120" w:after="120" w:line="288" w:lineRule="auto"/>
        <w:ind w:left="1814"/>
        <w:jc w:val="left"/>
      </w:pPr>
      <w:r>
        <w:rPr>
          <w:rFonts w:eastAsia="等线" w:ascii="Arial" w:cs="Arial" w:hAnsi="Arial"/>
          <w:color w:val="245bdb"/>
          <w:sz w:val="22"/>
        </w:rPr>
        <w:t>物流类型：普快/冷链/其他</w:t>
      </w:r>
    </w:p>
    <w:p>
      <w:pPr>
        <w:numPr>
          <w:numId w:val="71"/>
        </w:numPr>
        <w:spacing w:before="120" w:after="120" w:line="288" w:lineRule="auto"/>
        <w:ind w:left="1814"/>
        <w:jc w:val="left"/>
      </w:pPr>
      <w:r>
        <w:rPr>
          <w:rFonts w:eastAsia="等线" w:ascii="Arial" w:cs="Arial" w:hAnsi="Arial"/>
          <w:color w:val="245bdb"/>
          <w:sz w:val="22"/>
        </w:rPr>
        <w:t>样本拍照（必填）</w:t>
      </w:r>
    </w:p>
    <w:p>
      <w:pPr>
        <w:numPr>
          <w:numId w:val="72"/>
        </w:numPr>
        <w:spacing w:before="120" w:after="120" w:line="288" w:lineRule="auto"/>
        <w:ind w:left="1814"/>
        <w:jc w:val="left"/>
      </w:pPr>
      <w:r>
        <w:rPr>
          <w:rFonts w:eastAsia="等线" w:ascii="Arial" w:cs="Arial" w:hAnsi="Arial"/>
          <w:color w:val="245bdb"/>
          <w:sz w:val="22"/>
        </w:rPr>
        <w:t>样本描述（选填）</w:t>
      </w:r>
    </w:p>
    <w:p>
      <w:pPr>
        <w:spacing w:before="120" w:after="120" w:line="288" w:lineRule="auto"/>
        <w:ind w:left="1360"/>
        <w:jc w:val="left"/>
      </w:pPr>
      <w:r>
        <w:rPr>
          <w:rFonts w:eastAsia="等线" w:ascii="Arial" w:cs="Arial" w:hAnsi="Arial"/>
          <w:color w:val="245bdb"/>
          <w:sz w:val="22"/>
        </w:rPr>
        <w:t>物流列表显示分为</w:t>
      </w:r>
      <w:r>
        <w:rPr>
          <w:rFonts w:eastAsia="等线" w:ascii="Arial" w:cs="Arial" w:hAnsi="Arial"/>
          <w:b w:val="true"/>
          <w:color w:val="245bdb"/>
          <w:sz w:val="22"/>
        </w:rPr>
        <w:t>收到的</w:t>
      </w:r>
      <w:r>
        <w:rPr>
          <w:rFonts w:eastAsia="等线" w:ascii="Arial" w:cs="Arial" w:hAnsi="Arial"/>
          <w:color w:val="245bdb"/>
          <w:sz w:val="22"/>
        </w:rPr>
        <w:t>、</w:t>
      </w:r>
      <w:r>
        <w:rPr>
          <w:rFonts w:eastAsia="等线" w:ascii="Arial" w:cs="Arial" w:hAnsi="Arial"/>
          <w:b w:val="true"/>
          <w:color w:val="245bdb"/>
          <w:sz w:val="22"/>
        </w:rPr>
        <w:t>寄出的</w:t>
      </w:r>
      <w:r>
        <w:rPr>
          <w:rFonts w:eastAsia="等线" w:ascii="Arial" w:cs="Arial" w:hAnsi="Arial"/>
          <w:color w:val="245bdb"/>
          <w:sz w:val="22"/>
        </w:rPr>
        <w:t>两个类型，切换来查看物流列表，列表显示全部信息，点击详情会弹窗显示物流详细信息。如果点击追踪则可以进入运单详情页面，运单详情可以显示具体的路由信息。</w:t>
      </w:r>
    </w:p>
    <w:p>
      <w:pPr>
        <w:pStyle w:val="3"/>
        <w:spacing w:before="300" w:after="120" w:line="288" w:lineRule="auto"/>
        <w:ind w:left="907"/>
        <w:jc w:val="left"/>
        <w:outlineLvl w:val="2"/>
      </w:pPr>
      <w:bookmarkStart w:name="heading_23" w:id="23"/>
      <w:r>
        <w:rPr>
          <w:rFonts w:eastAsia="等线" w:ascii="Arial" w:cs="Arial" w:hAnsi="Arial"/>
          <w:color w:val="3370ff"/>
          <w:sz w:val="30"/>
        </w:rPr>
        <w:t xml:space="preserve">4.3.2 </w:t>
      </w:r>
      <w:r>
        <w:rPr>
          <w:rFonts w:eastAsia="等线" w:ascii="Arial" w:cs="Arial" w:hAnsi="Arial"/>
          <w:b w:val="true"/>
          <w:sz w:val="30"/>
        </w:rPr>
        <w:t>物流追踪</w:t>
      </w:r>
      <w:bookmarkEnd w:id="23"/>
    </w:p>
    <w:p>
      <w:pPr>
        <w:numPr>
          <w:numId w:val="73"/>
        </w:numPr>
        <w:spacing w:before="120" w:after="120" w:line="288" w:lineRule="auto"/>
        <w:ind w:left="1360"/>
        <w:jc w:val="left"/>
      </w:pPr>
      <w:r>
        <w:rPr>
          <w:rFonts w:eastAsia="等线" w:ascii="Arial" w:cs="Arial" w:hAnsi="Arial"/>
          <w:b w:val="true"/>
          <w:sz w:val="22"/>
        </w:rPr>
        <w:t>用户场景</w:t>
      </w:r>
    </w:p>
    <w:p>
      <w:pPr>
        <w:spacing w:before="120" w:after="120" w:line="288" w:lineRule="auto"/>
        <w:ind w:left="1360"/>
        <w:jc w:val="left"/>
      </w:pPr>
      <w:r>
        <w:rPr>
          <w:rFonts w:eastAsia="等线" w:ascii="Arial" w:cs="Arial" w:hAnsi="Arial"/>
          <w:color w:val="245bdb"/>
          <w:sz w:val="22"/>
        </w:rPr>
        <w:t>基层医院寄送样本，或者中心医院退回样本，需要新增物流信息</w:t>
      </w:r>
    </w:p>
    <w:p>
      <w:pPr>
        <w:numPr>
          <w:numId w:val="74"/>
        </w:numPr>
        <w:spacing w:before="120" w:after="120" w:line="288" w:lineRule="auto"/>
        <w:ind w:left="1360"/>
        <w:jc w:val="left"/>
      </w:pPr>
      <w:r>
        <w:rPr>
          <w:rFonts w:eastAsia="等线" w:ascii="Arial" w:cs="Arial" w:hAnsi="Arial"/>
          <w:b w:val="true"/>
          <w:sz w:val="22"/>
        </w:rPr>
        <w:t>功能描述</w:t>
      </w:r>
    </w:p>
    <w:p>
      <w:pPr>
        <w:spacing w:before="120" w:after="120" w:line="288" w:lineRule="auto"/>
        <w:ind w:left="1360"/>
        <w:jc w:val="left"/>
      </w:pPr>
      <w:r>
        <w:rPr>
          <w:rFonts w:eastAsia="等线" w:ascii="Arial" w:cs="Arial" w:hAnsi="Arial"/>
          <w:color w:val="245bdb"/>
          <w:sz w:val="22"/>
        </w:rPr>
        <w:t>物流信息是关联申请单的，申请单与物流信息是多对多的关系</w:t>
      </w:r>
    </w:p>
    <w:p>
      <w:pPr>
        <w:numPr>
          <w:numId w:val="75"/>
        </w:numPr>
        <w:spacing w:before="120" w:after="120" w:line="288" w:lineRule="auto"/>
        <w:ind w:left="1360"/>
        <w:jc w:val="left"/>
      </w:pPr>
      <w:r>
        <w:rPr>
          <w:rFonts w:eastAsia="等线" w:ascii="Arial" w:cs="Arial" w:hAnsi="Arial"/>
          <w:b w:val="true"/>
          <w:sz w:val="22"/>
        </w:rPr>
        <w:t>需求说明</w:t>
      </w:r>
    </w:p>
    <w:p>
      <w:pPr>
        <w:spacing w:before="120" w:after="120" w:line="288" w:lineRule="auto"/>
        <w:ind w:left="1360"/>
        <w:jc w:val="left"/>
      </w:pPr>
      <w:r>
        <w:rPr>
          <w:rFonts w:eastAsia="等线" w:ascii="Arial" w:cs="Arial" w:hAnsi="Arial"/>
          <w:color w:val="245bdb"/>
          <w:sz w:val="22"/>
        </w:rPr>
        <w:t>物流信息新增完成之后可以查看物流明细，也就是物流追踪功能。点击物流追踪之后会根据物流单号去顺丰/邮政查询物流路由详情信息，路由包含快递的详细信息，具体的运送节点。（见下图）</w:t>
      </w:r>
    </w:p>
    <w:p>
      <w:pPr>
        <w:spacing w:before="120" w:after="120" w:line="288" w:lineRule="auto"/>
        <w:ind w:left="1360"/>
        <w:jc w:val="center"/>
      </w:pPr>
      <w:r>
        <w:drawing>
          <wp:inline distT="0" distR="0" distB="0" distL="0">
            <wp:extent cx="5257800" cy="3990975"/>
            <wp:docPr id="3" name="Drawing 3" descr=""/>
            <a:graphic xmlns:a="http://schemas.openxmlformats.org/drawingml/2006/main">
              <a:graphicData uri="http://schemas.openxmlformats.org/drawingml/2006/picture">
                <pic:pic xmlns:pic="http://schemas.openxmlformats.org/drawingml/2006/picture">
                  <pic:nvPicPr>
                    <pic:cNvPr id="0" name="Picture 3" descr=""/>
                    <pic:cNvPicPr>
                      <a:picLocks noChangeAspect="true"/>
                    </pic:cNvPicPr>
                  </pic:nvPicPr>
                  <pic:blipFill>
                    <a:blip r:embed="rId10"/>
                    <a:stretch>
                      <a:fillRect/>
                    </a:stretch>
                  </pic:blipFill>
                  <pic:spPr>
                    <a:xfrm>
                      <a:off x="0" y="0"/>
                      <a:ext cx="5257800" cy="3990975"/>
                    </a:xfrm>
                    <a:prstGeom prst="rect">
                      <a:avLst/>
                    </a:prstGeom>
                  </pic:spPr>
                </pic:pic>
              </a:graphicData>
            </a:graphic>
          </wp:inline>
        </w:drawing>
      </w:r>
    </w:p>
    <w:p>
      <w:pPr>
        <w:spacing w:before="120" w:after="120" w:line="288" w:lineRule="auto"/>
        <w:ind w:left="1360"/>
        <w:jc w:val="center"/>
      </w:pPr>
      <w:r>
        <w:rPr>
          <w:rFonts w:eastAsia="等线" w:ascii="Arial" w:cs="Arial" w:hAnsi="Arial"/>
          <w:color w:val="8F959E"/>
          <w:sz w:val="22"/>
        </w:rPr>
        <w:t>路由详情</w:t>
        <w:br/>
      </w:r>
    </w:p>
    <w:p>
      <w:pPr>
        <w:spacing w:before="120" w:after="120" w:line="288" w:lineRule="auto"/>
        <w:ind w:left="1360"/>
        <w:jc w:val="left"/>
      </w:pPr>
      <w:r>
        <w:rPr>
          <w:rFonts w:eastAsia="等线" w:ascii="Arial" w:cs="Arial" w:hAnsi="Arial"/>
          <w:color w:val="245bdb"/>
          <w:sz w:val="22"/>
        </w:rPr>
        <w:t>系统同样提供一个物流查询功能，如果基层医院只新建了申请单，并没有创建物流信息，中心医院的人员同样可以在物流查询页面，通过物流单号查询物流/快递的路由详情，支持多个运单号一起查询。</w:t>
      </w:r>
    </w:p>
    <w:p>
      <w:pPr>
        <w:spacing w:before="120" w:after="120" w:line="288" w:lineRule="auto"/>
        <w:ind w:left="907"/>
        <w:jc w:val="center"/>
      </w:pPr>
      <w:r>
        <w:drawing>
          <wp:inline distT="0" distR="0" distB="0" distL="0">
            <wp:extent cx="5257800" cy="3248025"/>
            <wp:docPr id="4" name="Drawing 4" descr=""/>
            <a:graphic xmlns:a="http://schemas.openxmlformats.org/drawingml/2006/main">
              <a:graphicData uri="http://schemas.openxmlformats.org/drawingml/2006/picture">
                <pic:pic xmlns:pic="http://schemas.openxmlformats.org/drawingml/2006/picture">
                  <pic:nvPicPr>
                    <pic:cNvPr id="0" name="Picture 4" descr=""/>
                    <pic:cNvPicPr>
                      <a:picLocks noChangeAspect="true"/>
                    </pic:cNvPicPr>
                  </pic:nvPicPr>
                  <pic:blipFill>
                    <a:blip r:embed="rId11"/>
                    <a:stretch>
                      <a:fillRect/>
                    </a:stretch>
                  </pic:blipFill>
                  <pic:spPr>
                    <a:xfrm>
                      <a:off x="0" y="0"/>
                      <a:ext cx="5257800" cy="3248025"/>
                    </a:xfrm>
                    <a:prstGeom prst="rect">
                      <a:avLst/>
                    </a:prstGeom>
                  </pic:spPr>
                </pic:pic>
              </a:graphicData>
            </a:graphic>
          </wp:inline>
        </w:drawing>
      </w:r>
    </w:p>
    <w:p>
      <w:pPr>
        <w:spacing w:before="120" w:after="120" w:line="288" w:lineRule="auto"/>
        <w:ind w:left="907"/>
        <w:jc w:val="center"/>
      </w:pPr>
      <w:r>
        <w:rPr>
          <w:rFonts w:eastAsia="等线" w:ascii="Arial" w:cs="Arial" w:hAnsi="Arial"/>
          <w:color w:val="8F959E"/>
          <w:sz w:val="22"/>
        </w:rPr>
        <w:t>物流查询</w:t>
        <w:br/>
      </w:r>
    </w:p>
    <w:p>
      <w:pPr>
        <w:spacing w:before="120" w:after="120" w:line="288" w:lineRule="auto"/>
        <w:ind w:left="907"/>
        <w:jc w:val="left"/>
      </w:pPr>
      <w:r>
        <w:rPr>
          <w:rFonts w:eastAsia="等线" w:ascii="Arial" w:cs="Arial" w:hAnsi="Arial"/>
          <w:color w:val="245bdb"/>
          <w:sz w:val="22"/>
        </w:rPr>
        <w:t>在物流信息详情中也可以追踪物流路由详情信息，物流详情中追踪物流，会进入一个运单详情页面，可以在地图上显示运送情况，以及当前的位置。</w:t>
      </w:r>
    </w:p>
    <w:p>
      <w:pPr>
        <w:spacing w:before="120" w:after="120" w:line="288" w:lineRule="auto"/>
        <w:ind w:left="907"/>
        <w:jc w:val="left"/>
      </w:pPr>
      <w:r>
        <w:rPr>
          <w:rFonts w:eastAsia="等线" w:ascii="Arial" w:cs="Arial" w:hAnsi="Arial"/>
          <w:color w:val="245bdb"/>
          <w:sz w:val="22"/>
        </w:rPr>
        <w:t>运单详情显示一个地图，地图会有一个始发地，一个目的地，运送路线，以及当前的位置，页面的底部则显示物流详情，包括路由详情，物流的状态等信息。</w:t>
      </w:r>
    </w:p>
    <w:p>
      <w:pPr>
        <w:pStyle w:val="3"/>
        <w:spacing w:before="300" w:after="120" w:line="288" w:lineRule="auto"/>
        <w:ind w:left="907"/>
        <w:jc w:val="left"/>
        <w:outlineLvl w:val="2"/>
      </w:pPr>
      <w:bookmarkStart w:name="heading_24" w:id="24"/>
      <w:r>
        <w:rPr>
          <w:rFonts w:eastAsia="等线" w:ascii="Arial" w:cs="Arial" w:hAnsi="Arial"/>
          <w:color w:val="3370ff"/>
          <w:sz w:val="30"/>
        </w:rPr>
        <w:t xml:space="preserve">4.3.3 </w:t>
      </w:r>
      <w:r>
        <w:rPr>
          <w:rFonts w:eastAsia="等线" w:ascii="Arial" w:cs="Arial" w:hAnsi="Arial"/>
          <w:b w:val="true"/>
          <w:sz w:val="30"/>
        </w:rPr>
        <w:t>样本寄回</w:t>
      </w:r>
      <w:bookmarkEnd w:id="24"/>
    </w:p>
    <w:p>
      <w:pPr>
        <w:numPr>
          <w:numId w:val="76"/>
        </w:numPr>
        <w:spacing w:before="120" w:after="120" w:line="288" w:lineRule="auto"/>
        <w:ind w:left="907"/>
        <w:jc w:val="left"/>
      </w:pPr>
      <w:r>
        <w:rPr>
          <w:rFonts w:eastAsia="等线" w:ascii="Arial" w:cs="Arial" w:hAnsi="Arial"/>
          <w:b w:val="true"/>
          <w:sz w:val="22"/>
        </w:rPr>
        <w:t>用户场景</w:t>
      </w:r>
    </w:p>
    <w:p>
      <w:pPr>
        <w:spacing w:before="120" w:after="120" w:line="288" w:lineRule="auto"/>
        <w:ind w:left="907"/>
        <w:jc w:val="left"/>
      </w:pPr>
      <w:r>
        <w:rPr>
          <w:rFonts w:eastAsia="等线" w:ascii="Arial" w:cs="Arial" w:hAnsi="Arial"/>
          <w:color w:val="245bdb"/>
          <w:sz w:val="22"/>
        </w:rPr>
        <w:t>中心医院在检测完成或者检测未出报告前需要寄回样本</w:t>
      </w:r>
    </w:p>
    <w:p>
      <w:pPr>
        <w:numPr>
          <w:numId w:val="77"/>
        </w:numPr>
        <w:spacing w:before="120" w:after="120" w:line="288" w:lineRule="auto"/>
        <w:ind w:left="907"/>
        <w:jc w:val="left"/>
      </w:pPr>
      <w:r>
        <w:rPr>
          <w:rFonts w:eastAsia="等线" w:ascii="Arial" w:cs="Arial" w:hAnsi="Arial"/>
          <w:b w:val="true"/>
          <w:sz w:val="22"/>
        </w:rPr>
        <w:t>功能描述</w:t>
      </w:r>
    </w:p>
    <w:p>
      <w:pPr>
        <w:spacing w:before="120" w:after="120" w:line="288" w:lineRule="auto"/>
        <w:ind w:left="907"/>
        <w:jc w:val="left"/>
      </w:pPr>
      <w:r>
        <w:rPr>
          <w:rFonts w:eastAsia="等线" w:ascii="Arial" w:cs="Arial" w:hAnsi="Arial"/>
          <w:color w:val="245bdb"/>
          <w:sz w:val="22"/>
        </w:rPr>
        <w:t>样本寄回需要新增物流信息，输入快递单号、上传标本照片</w:t>
      </w:r>
    </w:p>
    <w:p>
      <w:pPr>
        <w:numPr>
          <w:numId w:val="78"/>
        </w:numPr>
        <w:spacing w:before="120" w:after="120" w:line="288" w:lineRule="auto"/>
        <w:ind w:left="907"/>
        <w:jc w:val="left"/>
      </w:pPr>
      <w:r>
        <w:rPr>
          <w:rFonts w:eastAsia="等线" w:ascii="Arial" w:cs="Arial" w:hAnsi="Arial"/>
          <w:b w:val="true"/>
          <w:sz w:val="22"/>
        </w:rPr>
        <w:t>需求说明</w:t>
      </w:r>
    </w:p>
    <w:p>
      <w:pPr>
        <w:spacing w:before="120" w:after="120" w:line="288" w:lineRule="auto"/>
        <w:ind w:left="907"/>
        <w:jc w:val="left"/>
      </w:pPr>
      <w:r>
        <w:rPr>
          <w:rFonts w:eastAsia="等线" w:ascii="Arial" w:cs="Arial" w:hAnsi="Arial"/>
          <w:color w:val="245bdb"/>
          <w:sz w:val="22"/>
        </w:rPr>
        <w:t>（1）</w:t>
      </w:r>
      <w:r>
        <w:rPr>
          <w:rFonts w:eastAsia="等线" w:ascii="Arial" w:cs="Arial" w:hAnsi="Arial"/>
          <w:color w:val="245bdb"/>
          <w:sz w:val="22"/>
        </w:rPr>
        <w:t>样本寄回一般是检测完成按月批量寄回，有一些患者会有需求，需要当日寄回。</w:t>
      </w:r>
    </w:p>
    <w:p>
      <w:pPr>
        <w:spacing w:before="120" w:after="120" w:line="288" w:lineRule="auto"/>
        <w:ind w:left="907"/>
        <w:jc w:val="left"/>
      </w:pPr>
      <w:r>
        <w:rPr>
          <w:rFonts w:eastAsia="等线" w:ascii="Arial" w:cs="Arial" w:hAnsi="Arial"/>
          <w:color w:val="245bdb"/>
          <w:sz w:val="22"/>
        </w:rPr>
        <w:t>（2）</w:t>
      </w:r>
      <w:r>
        <w:rPr>
          <w:rFonts w:eastAsia="等线" w:ascii="Arial" w:cs="Arial" w:hAnsi="Arial"/>
          <w:color w:val="245bdb"/>
          <w:sz w:val="22"/>
        </w:rPr>
        <w:t xml:space="preserve">样本寄回跟基层医院寄送样本有一些区别，首选寄送单位为必填，不需要关联申请单，其他的跟物流信息中的新增一致。新增之后会显示到 </w:t>
      </w:r>
      <w:r>
        <w:rPr>
          <w:rFonts w:eastAsia="等线" w:ascii="Arial" w:cs="Arial" w:hAnsi="Arial"/>
          <w:b w:val="true"/>
          <w:color w:val="245bdb"/>
          <w:sz w:val="22"/>
        </w:rPr>
        <w:t xml:space="preserve">寄出的 </w:t>
      </w:r>
      <w:r>
        <w:rPr>
          <w:rFonts w:eastAsia="等线" w:ascii="Arial" w:cs="Arial" w:hAnsi="Arial"/>
          <w:color w:val="245bdb"/>
          <w:sz w:val="22"/>
        </w:rPr>
        <w:t>列表中，同样可以查看物流详情，以及追踪物流路由详情和运单详情。</w:t>
      </w:r>
    </w:p>
    <w:p>
      <w:pPr>
        <w:pStyle w:val="2"/>
        <w:spacing w:before="320" w:after="120" w:line="288" w:lineRule="auto"/>
        <w:ind w:left="453"/>
        <w:jc w:val="left"/>
        <w:outlineLvl w:val="1"/>
      </w:pPr>
      <w:bookmarkStart w:name="heading_25" w:id="25"/>
      <w:r>
        <w:rPr>
          <w:rFonts w:eastAsia="等线" w:ascii="Arial" w:cs="Arial" w:hAnsi="Arial"/>
          <w:color w:val="3370ff"/>
          <w:sz w:val="32"/>
        </w:rPr>
        <w:t xml:space="preserve">4.4 </w:t>
      </w:r>
      <w:r>
        <w:rPr>
          <w:rFonts w:eastAsia="等线" w:ascii="Arial" w:cs="Arial" w:hAnsi="Arial"/>
          <w:b w:val="true"/>
          <w:sz w:val="32"/>
        </w:rPr>
        <w:t>诊断报告</w:t>
      </w:r>
      <w:bookmarkEnd w:id="25"/>
    </w:p>
    <w:p>
      <w:pPr>
        <w:pStyle w:val="3"/>
        <w:spacing w:before="300" w:after="120" w:line="288" w:lineRule="auto"/>
        <w:ind w:left="907"/>
        <w:jc w:val="left"/>
        <w:outlineLvl w:val="2"/>
      </w:pPr>
      <w:bookmarkStart w:name="heading_26" w:id="26"/>
      <w:r>
        <w:rPr>
          <w:rFonts w:eastAsia="等线" w:ascii="Arial" w:cs="Arial" w:hAnsi="Arial"/>
          <w:color w:val="3370ff"/>
          <w:sz w:val="30"/>
        </w:rPr>
        <w:t xml:space="preserve">4.4.1 </w:t>
      </w:r>
      <w:r>
        <w:rPr>
          <w:rFonts w:eastAsia="等线" w:ascii="Arial" w:cs="Arial" w:hAnsi="Arial"/>
          <w:b w:val="true"/>
          <w:sz w:val="30"/>
        </w:rPr>
        <w:t>诊断流程</w:t>
      </w:r>
      <w:bookmarkEnd w:id="26"/>
    </w:p>
    <w:p>
      <w:pPr>
        <w:numPr>
          <w:numId w:val="79"/>
        </w:numPr>
        <w:spacing w:before="120" w:after="120" w:line="288" w:lineRule="auto"/>
        <w:ind w:left="907"/>
        <w:jc w:val="left"/>
      </w:pPr>
      <w:r>
        <w:rPr>
          <w:rFonts w:eastAsia="等线" w:ascii="Arial" w:cs="Arial" w:hAnsi="Arial"/>
          <w:b w:val="true"/>
          <w:sz w:val="22"/>
        </w:rPr>
        <w:t>用户场景</w:t>
      </w:r>
    </w:p>
    <w:p>
      <w:pPr>
        <w:spacing w:before="120" w:after="120" w:line="288" w:lineRule="auto"/>
        <w:ind w:left="907" w:firstLine="0"/>
        <w:jc w:val="left"/>
      </w:pPr>
      <w:r>
        <w:rPr>
          <w:rFonts w:eastAsia="等线" w:ascii="Arial" w:cs="Arial" w:hAnsi="Arial"/>
          <w:color w:val="245bdb"/>
          <w:sz w:val="22"/>
        </w:rPr>
        <w:t>中心医院在完成样本质控且确认合格后，开始执行诊断流程，上传检测报告。</w:t>
      </w:r>
    </w:p>
    <w:p>
      <w:pPr>
        <w:numPr>
          <w:numId w:val="80"/>
        </w:numPr>
        <w:spacing w:before="120" w:after="120" w:line="288" w:lineRule="auto"/>
        <w:ind w:left="907"/>
        <w:jc w:val="left"/>
      </w:pPr>
      <w:r>
        <w:rPr>
          <w:rFonts w:eastAsia="等线" w:ascii="Arial" w:cs="Arial" w:hAnsi="Arial"/>
          <w:b w:val="true"/>
          <w:sz w:val="22"/>
        </w:rPr>
        <w:t>功能描述</w:t>
      </w:r>
    </w:p>
    <w:p>
      <w:pPr>
        <w:spacing w:before="120" w:after="120" w:line="288" w:lineRule="auto"/>
        <w:ind w:left="907"/>
        <w:jc w:val="left"/>
      </w:pPr>
      <w:r>
        <w:rPr>
          <w:rFonts w:eastAsia="等线" w:ascii="Arial" w:cs="Arial" w:hAnsi="Arial"/>
          <w:color w:val="245bdb"/>
          <w:sz w:val="22"/>
        </w:rPr>
        <w:t>（1）</w:t>
      </w:r>
      <w:r>
        <w:rPr>
          <w:rFonts w:eastAsia="等线" w:ascii="Arial" w:cs="Arial" w:hAnsi="Arial"/>
          <w:color w:val="245bdb"/>
          <w:sz w:val="22"/>
        </w:rPr>
        <w:t>每一个申请单中的检测项目，在诊断阶段开始后，可以上传检测报告。每个项目有自己的诊断结果与报告文档，允许按项目维度分别处理。</w:t>
      </w:r>
    </w:p>
    <w:p>
      <w:pPr>
        <w:spacing w:before="120" w:after="120" w:line="288" w:lineRule="auto"/>
        <w:ind w:left="907"/>
        <w:jc w:val="left"/>
      </w:pPr>
      <w:r>
        <w:rPr>
          <w:rFonts w:eastAsia="等线" w:ascii="Arial" w:cs="Arial" w:hAnsi="Arial"/>
          <w:color w:val="245bdb"/>
          <w:sz w:val="22"/>
        </w:rPr>
        <w:t>（2）</w:t>
      </w:r>
      <w:r>
        <w:rPr>
          <w:rFonts w:eastAsia="等线" w:ascii="Arial" w:cs="Arial" w:hAnsi="Arial"/>
          <w:color w:val="245bdb"/>
          <w:sz w:val="22"/>
        </w:rPr>
        <w:t>检测完成后生成对应报告。部分病例在检测后可能需要</w:t>
      </w:r>
      <w:r>
        <w:rPr>
          <w:rFonts w:eastAsia="等线" w:ascii="Arial" w:cs="Arial" w:hAnsi="Arial"/>
          <w:b w:val="true"/>
          <w:color w:val="245bdb"/>
          <w:sz w:val="22"/>
        </w:rPr>
        <w:t>加做检测项目</w:t>
      </w:r>
      <w:r>
        <w:rPr>
          <w:rFonts w:eastAsia="等线" w:ascii="Arial" w:cs="Arial" w:hAnsi="Arial"/>
          <w:color w:val="245bdb"/>
          <w:sz w:val="22"/>
        </w:rPr>
        <w:t>，需征得患者同意</w:t>
      </w:r>
      <w:r>
        <w:rPr>
          <w:rFonts w:eastAsia="等线" w:ascii="Arial" w:cs="Arial" w:hAnsi="Arial"/>
          <w:color w:val="245bdb"/>
          <w:sz w:val="22"/>
        </w:rPr>
        <w:t>并进行二次收费</w:t>
      </w:r>
      <w:r>
        <w:rPr>
          <w:rFonts w:eastAsia="等线" w:ascii="Arial" w:cs="Arial" w:hAnsi="Arial"/>
          <w:color w:val="245bdb"/>
          <w:sz w:val="22"/>
        </w:rPr>
        <w:t>。若样本不合格，则会执行</w:t>
      </w:r>
      <w:r>
        <w:rPr>
          <w:rFonts w:eastAsia="等线" w:ascii="Arial" w:cs="Arial" w:hAnsi="Arial"/>
          <w:b w:val="true"/>
          <w:color w:val="245bdb"/>
          <w:sz w:val="22"/>
        </w:rPr>
        <w:t>退检流程</w:t>
      </w:r>
      <w:r>
        <w:rPr>
          <w:rFonts w:eastAsia="等线" w:ascii="Arial" w:cs="Arial" w:hAnsi="Arial"/>
          <w:color w:val="245bdb"/>
          <w:sz w:val="22"/>
        </w:rPr>
        <w:t>。该模块旨在实现</w:t>
      </w:r>
      <w:r>
        <w:rPr>
          <w:rFonts w:eastAsia="等线" w:ascii="Arial" w:cs="Arial" w:hAnsi="Arial"/>
          <w:b w:val="true"/>
          <w:color w:val="245bdb"/>
          <w:sz w:val="22"/>
        </w:rPr>
        <w:t>检测流程闭环管理</w:t>
      </w:r>
      <w:r>
        <w:rPr>
          <w:rFonts w:eastAsia="等线" w:ascii="Arial" w:cs="Arial" w:hAnsi="Arial"/>
          <w:color w:val="245bdb"/>
          <w:sz w:val="22"/>
        </w:rPr>
        <w:t>，确保每个检测项目有完整轨迹、明确状态，并与报告、收费、患者通知联动。</w:t>
      </w:r>
    </w:p>
    <w:p>
      <w:pPr>
        <w:numPr>
          <w:numId w:val="81"/>
        </w:numPr>
        <w:spacing w:before="120" w:after="120" w:line="288" w:lineRule="auto"/>
        <w:ind w:left="907"/>
        <w:jc w:val="left"/>
      </w:pPr>
      <w:r>
        <w:rPr>
          <w:rFonts w:eastAsia="等线" w:ascii="Arial" w:cs="Arial" w:hAnsi="Arial"/>
          <w:b w:val="true"/>
          <w:sz w:val="22"/>
        </w:rPr>
        <w:t>需求说明</w:t>
      </w:r>
    </w:p>
    <w:p>
      <w:pPr>
        <w:spacing w:before="120" w:after="120" w:line="288" w:lineRule="auto"/>
        <w:ind w:left="907"/>
        <w:jc w:val="left"/>
      </w:pPr>
      <w:r>
        <w:drawing>
          <wp:inline distT="0" distR="0" distB="0" distL="0">
            <wp:extent cx="1543050" cy="3390900"/>
            <wp:docPr id="5" name="Drawing 5" descr=""/>
            <a:graphic xmlns:a="http://schemas.openxmlformats.org/drawingml/2006/main">
              <a:graphicData uri="http://schemas.openxmlformats.org/drawingml/2006/picture">
                <pic:pic xmlns:pic="http://schemas.openxmlformats.org/drawingml/2006/picture">
                  <pic:nvPicPr>
                    <pic:cNvPr id="0" name="Picture 5" descr=""/>
                    <pic:cNvPicPr>
                      <a:picLocks noChangeAspect="true"/>
                    </pic:cNvPicPr>
                  </pic:nvPicPr>
                  <pic:blipFill>
                    <a:blip r:embed="rId12"/>
                    <a:stretch>
                      <a:fillRect/>
                    </a:stretch>
                  </pic:blipFill>
                  <pic:spPr>
                    <a:xfrm>
                      <a:off x="0" y="0"/>
                      <a:ext cx="1543050" cy="3390900"/>
                    </a:xfrm>
                    <a:prstGeom prst="rect">
                      <a:avLst/>
                    </a:prstGeom>
                  </pic:spPr>
                </pic:pic>
              </a:graphicData>
            </a:graphic>
          </wp:inline>
        </w:drawing>
      </w:r>
    </w:p>
    <w:p>
      <w:pPr>
        <w:spacing w:before="120" w:after="120" w:line="288" w:lineRule="auto"/>
        <w:ind w:left="907"/>
        <w:jc w:val="center"/>
      </w:pPr>
      <w:r>
        <w:rPr>
          <w:rFonts w:eastAsia="等线" w:ascii="Arial" w:cs="Arial" w:hAnsi="Arial"/>
          <w:color w:val="8F959E"/>
          <w:sz w:val="22"/>
        </w:rPr>
        <w:t>检测报告流程</w:t>
        <w:br/>
      </w:r>
    </w:p>
    <w:p>
      <w:pPr>
        <w:spacing w:before="120" w:after="120" w:line="288" w:lineRule="auto"/>
        <w:ind w:left="907"/>
        <w:jc w:val="left"/>
      </w:pPr>
      <w:r>
        <w:rPr>
          <w:rFonts w:eastAsia="等线" w:ascii="Arial" w:cs="Arial" w:hAnsi="Arial"/>
          <w:color w:val="245bdb"/>
          <w:sz w:val="22"/>
        </w:rPr>
        <w:t>用户角色与场景</w:t>
      </w:r>
    </w:p>
    <w:p>
      <w:pPr>
        <w:spacing w:before="120" w:after="120" w:line="288" w:lineRule="auto"/>
        <w:ind w:left="1360"/>
      </w:pPr>
      <w:r>
        <w:object>
          <v:shape id="_x0000_i1026" style="width:414pt;height:90pt;mso-width-percent:0;mso-height-percent:0;mso-width-percent:0;mso-height-percent:0" type="#_x0000_t75" o:ole="">
            <v:imagedata r:id="rId14" o:title=""/>
          </v:shape>
          <o:OLEObject DrawAspect="Icon" ObjectID="_1718471220" ProgID="Excel.Sheet.12" ShapeID="_x0000_i1026" Type="Embed" r:id="rId13"/>
        </w:object>
      </w:r>
    </w:p>
    <w:p>
      <w:pPr>
        <w:spacing w:after="120"/>
        <w:ind w:left="1360"/>
        <w:jc w:val="center"/>
      </w:pPr>
      <w:r>
        <w:rPr>
          <w:rFonts w:eastAsia="等线" w:ascii="Arial" w:cs="Arial" w:hAnsi="Arial"/>
          <w:b w:val="true"/>
          <w:sz w:val="22"/>
        </w:rPr>
        <w:t>点击图片可查看完整电子表格</w:t>
      </w:r>
    </w:p>
    <w:p>
      <w:pPr>
        <w:spacing w:before="120" w:after="120" w:line="288" w:lineRule="auto"/>
        <w:ind w:left="907"/>
        <w:jc w:val="left"/>
      </w:pPr>
      <w:r>
        <w:rPr>
          <w:rFonts w:eastAsia="等线" w:ascii="Arial" w:cs="Arial" w:hAnsi="Arial"/>
          <w:color w:val="245bdb"/>
          <w:sz w:val="22"/>
        </w:rPr>
        <w:t>权限控制</w:t>
      </w:r>
    </w:p>
    <w:p>
      <w:pPr>
        <w:spacing w:before="120" w:after="120" w:line="288" w:lineRule="auto"/>
        <w:ind w:left="1360"/>
      </w:pPr>
      <w:r>
        <w:object>
          <v:shape id="_x0000_i1027" style="width:414pt;height:128pt;mso-width-percent:0;mso-height-percent:0;mso-width-percent:0;mso-height-percent:0" type="#_x0000_t75" o:ole="">
            <v:imagedata r:id="rId16" o:title=""/>
          </v:shape>
          <o:OLEObject DrawAspect="Icon" ObjectID="_1718471221" ProgID="Excel.Sheet.12" ShapeID="_x0000_i1027" Type="Embed" r:id="rId15"/>
        </w:object>
      </w:r>
    </w:p>
    <w:p>
      <w:pPr>
        <w:spacing w:after="120"/>
        <w:ind w:left="1360"/>
        <w:jc w:val="center"/>
      </w:pPr>
      <w:r>
        <w:rPr>
          <w:rFonts w:eastAsia="等线" w:ascii="Arial" w:cs="Arial" w:hAnsi="Arial"/>
          <w:b w:val="true"/>
          <w:sz w:val="22"/>
        </w:rPr>
        <w:t>点击图片可查看完整电子表格</w:t>
      </w:r>
    </w:p>
    <w:p>
      <w:pPr>
        <w:spacing w:before="120" w:after="120" w:line="288" w:lineRule="auto"/>
        <w:ind w:left="907" w:firstLine="0"/>
        <w:jc w:val="left"/>
      </w:pPr>
      <w:r>
        <w:rPr>
          <w:rFonts w:eastAsia="等线" w:ascii="Arial" w:cs="Arial" w:hAnsi="Arial"/>
          <w:color w:val="245bdb"/>
          <w:sz w:val="22"/>
        </w:rPr>
        <w:t>每个申请单可包含多个检测项目，每个检测项目独立管理状态，状态（暂定）：</w:t>
      </w:r>
    </w:p>
    <w:tbl>
      <w:tblPr>
        <w:tblW w:w="0" w:type="auto"/>
        <w:tblInd w:w="1360" w:type="dxa"/>
        <w:tblBorders>
          <w:top w:val="single" w:color="dee0e3"/>
          <w:left w:val="single" w:color="dee0e3"/>
          <w:bottom w:val="single" w:color="dee0e3"/>
          <w:right w:val="single" w:color="dee0e3"/>
          <w:insideH w:val="single" w:color="dee0e3"/>
          <w:insideV w:val="single" w:color="dee0e3"/>
        </w:tblBorders>
        <w:tblLayout w:type="fixed"/>
      </w:tblPr>
      <w:tblGrid>
        <w:gridCol w:w="1200"/>
        <w:gridCol w:w="5715"/>
      </w:tblGrid>
      <w:tr>
        <w:tc>
          <w:tcPr>
            <w:tcW w:w="144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状态</w:t>
            </w:r>
          </w:p>
        </w:tc>
        <w:tc>
          <w:tcPr>
            <w:tcW w:w="684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描述</w:t>
            </w:r>
          </w:p>
        </w:tc>
      </w:tr>
      <w:tr>
        <w:tc>
          <w:tcPr>
            <w:tcW w:w="144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未缴费</w:t>
            </w:r>
          </w:p>
        </w:tc>
        <w:tc>
          <w:tcPr>
            <w:tcW w:w="684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申请之后，患者暂未缴费</w:t>
            </w:r>
          </w:p>
        </w:tc>
      </w:tr>
      <w:tr>
        <w:tc>
          <w:tcPr>
            <w:tcW w:w="144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待检测</w:t>
            </w:r>
          </w:p>
        </w:tc>
        <w:tc>
          <w:tcPr>
            <w:tcW w:w="684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样本质控通过后自动进入待检测状态</w:t>
            </w:r>
          </w:p>
        </w:tc>
      </w:tr>
      <w:tr>
        <w:tc>
          <w:tcPr>
            <w:tcW w:w="144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检测中</w:t>
            </w:r>
          </w:p>
        </w:tc>
        <w:tc>
          <w:tcPr>
            <w:tcW w:w="684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中心医院录入样本进入检测流程</w:t>
            </w:r>
          </w:p>
        </w:tc>
      </w:tr>
      <w:tr>
        <w:tc>
          <w:tcPr>
            <w:tcW w:w="144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待补样</w:t>
            </w:r>
          </w:p>
        </w:tc>
        <w:tc>
          <w:tcPr>
            <w:tcW w:w="684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样本不合格，等待基层医院补样</w:t>
            </w:r>
          </w:p>
        </w:tc>
      </w:tr>
      <w:tr>
        <w:tc>
          <w:tcPr>
            <w:tcW w:w="144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待加检确认</w:t>
            </w:r>
          </w:p>
        </w:tc>
        <w:tc>
          <w:tcPr>
            <w:tcW w:w="684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检测后建议加做其他项目，等待患者/医院确认及缴费</w:t>
            </w:r>
          </w:p>
        </w:tc>
      </w:tr>
      <w:tr>
        <w:tc>
          <w:tcPr>
            <w:tcW w:w="144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退检</w:t>
            </w:r>
          </w:p>
        </w:tc>
        <w:tc>
          <w:tcPr>
            <w:tcW w:w="684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样本不合格或患者拒绝检测，记录退检原因</w:t>
            </w:r>
          </w:p>
        </w:tc>
      </w:tr>
      <w:tr>
        <w:tc>
          <w:tcPr>
            <w:tcW w:w="144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检测完成</w:t>
            </w:r>
          </w:p>
        </w:tc>
        <w:tc>
          <w:tcPr>
            <w:tcW w:w="684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检测完成，等待报告上传</w:t>
            </w:r>
          </w:p>
        </w:tc>
      </w:tr>
      <w:tr>
        <w:tc>
          <w:tcPr>
            <w:tcW w:w="144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报告已上传</w:t>
            </w:r>
          </w:p>
        </w:tc>
        <w:tc>
          <w:tcPr>
            <w:tcW w:w="684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中心医院上传报告，患者可下载</w:t>
            </w:r>
          </w:p>
        </w:tc>
      </w:tr>
      <w:tr>
        <w:tc>
          <w:tcPr>
            <w:tcW w:w="144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报告已回传</w:t>
            </w:r>
          </w:p>
        </w:tc>
        <w:tc>
          <w:tcPr>
            <w:tcW w:w="6840" w:type="dxa"/>
            <w:tcMar>
              <w:top w:type="dxa" w:w="60"/>
              <w:left w:type="dxa" w:w="120"/>
              <w:bottom w:type="dxa" w:w="30"/>
              <w:right w:type="dxa" w:w="120"/>
            </w:tcMar>
          </w:tcPr>
          <w:p>
            <w:pPr>
              <w:spacing w:before="120" w:after="120" w:line="288" w:lineRule="auto"/>
              <w:ind w:left="0"/>
              <w:jc w:val="left"/>
            </w:pPr>
            <w:r>
              <w:rPr>
                <w:rFonts w:eastAsia="等线" w:ascii="Arial" w:cs="Arial" w:hAnsi="Arial"/>
                <w:sz w:val="22"/>
              </w:rPr>
              <w:t>报告同步至基层医院，流程结束</w:t>
            </w:r>
          </w:p>
        </w:tc>
      </w:tr>
    </w:tbl>
    <w:p>
      <w:pPr>
        <w:numPr>
          <w:numId w:val="82"/>
        </w:numPr>
        <w:spacing w:before="120" w:after="120" w:line="288" w:lineRule="auto"/>
        <w:ind w:left="907"/>
        <w:jc w:val="left"/>
      </w:pPr>
      <w:r>
        <w:rPr>
          <w:rFonts w:eastAsia="等线" w:ascii="Arial" w:cs="Arial" w:hAnsi="Arial"/>
          <w:color w:val="245bdb"/>
          <w:sz w:val="22"/>
        </w:rPr>
        <w:t>所有通过样本质控的项目，系统自动切换状态为【待诊断（检测中）】</w:t>
      </w:r>
    </w:p>
    <w:p>
      <w:pPr>
        <w:numPr>
          <w:numId w:val="83"/>
        </w:numPr>
        <w:spacing w:before="120" w:after="120" w:line="288" w:lineRule="auto"/>
        <w:ind w:left="907"/>
        <w:jc w:val="left"/>
      </w:pPr>
      <w:r>
        <w:rPr>
          <w:rFonts w:eastAsia="等线" w:ascii="Arial" w:cs="Arial" w:hAnsi="Arial"/>
          <w:color w:val="245bdb"/>
          <w:sz w:val="22"/>
        </w:rPr>
        <w:t>中心医院医生可以进入项目详情页，上传诊断报告（PDF/JPG/PNG格式）</w:t>
      </w:r>
    </w:p>
    <w:p>
      <w:pPr>
        <w:numPr>
          <w:numId w:val="84"/>
        </w:numPr>
        <w:spacing w:before="120" w:after="120" w:line="288" w:lineRule="auto"/>
        <w:ind w:left="907"/>
        <w:jc w:val="left"/>
      </w:pPr>
      <w:r>
        <w:rPr>
          <w:rFonts w:eastAsia="等线" w:ascii="Arial" w:cs="Arial" w:hAnsi="Arial"/>
          <w:color w:val="245bdb"/>
          <w:sz w:val="22"/>
        </w:rPr>
        <w:t>上传后，项目状态变更为【报告已上传】</w:t>
      </w:r>
    </w:p>
    <w:p>
      <w:pPr>
        <w:numPr>
          <w:numId w:val="85"/>
        </w:numPr>
        <w:spacing w:before="120" w:after="120" w:line="288" w:lineRule="auto"/>
        <w:ind w:left="907"/>
        <w:jc w:val="left"/>
      </w:pPr>
      <w:r>
        <w:rPr>
          <w:rFonts w:eastAsia="等线" w:ascii="Arial" w:cs="Arial" w:hAnsi="Arial"/>
          <w:color w:val="245bdb"/>
          <w:sz w:val="22"/>
        </w:rPr>
        <w:t>支持报告预览与下载</w:t>
      </w:r>
    </w:p>
    <w:p>
      <w:pPr>
        <w:spacing w:before="120" w:after="120" w:line="288" w:lineRule="auto"/>
        <w:ind w:left="907"/>
        <w:jc w:val="left"/>
      </w:pPr>
      <w:r>
        <w:rPr>
          <w:rFonts w:eastAsia="等线" w:ascii="Arial" w:cs="Arial" w:hAnsi="Arial"/>
          <w:b w:val="true"/>
          <w:color w:val="245bdb"/>
          <w:sz w:val="22"/>
        </w:rPr>
        <w:t>异常处理</w:t>
      </w:r>
    </w:p>
    <w:p>
      <w:pPr>
        <w:spacing w:before="120" w:after="120" w:line="288" w:lineRule="auto"/>
        <w:ind w:left="907"/>
        <w:jc w:val="left"/>
      </w:pPr>
      <w:r>
        <w:rPr>
          <w:rFonts w:eastAsia="等线" w:ascii="Arial" w:cs="Arial" w:hAnsi="Arial"/>
          <w:color w:val="245bdb"/>
          <w:sz w:val="22"/>
        </w:rPr>
        <w:t>检测项目因质量原因中止：需由医生填写说明，进行退检流程</w:t>
      </w:r>
    </w:p>
    <w:p>
      <w:pPr>
        <w:spacing w:before="120" w:after="120" w:line="288" w:lineRule="auto"/>
        <w:ind w:left="907"/>
        <w:jc w:val="left"/>
      </w:pPr>
      <w:r>
        <w:rPr>
          <w:rFonts w:eastAsia="等线" w:ascii="Arial" w:cs="Arial" w:hAnsi="Arial"/>
          <w:color w:val="245bdb"/>
          <w:sz w:val="22"/>
        </w:rPr>
        <w:t>加做项目未缴费超过</w:t>
      </w:r>
      <w:r>
        <w:rPr>
          <w:rFonts w:eastAsia="等线" w:ascii="Arial" w:cs="Arial" w:hAnsi="Arial"/>
          <w:color w:val="245bdb"/>
          <w:sz w:val="22"/>
        </w:rPr>
        <w:t xml:space="preserve"> 7 天</w:t>
      </w:r>
      <w:r>
        <w:rPr>
          <w:rFonts w:eastAsia="等线" w:ascii="Arial" w:cs="Arial" w:hAnsi="Arial"/>
          <w:color w:val="245bdb"/>
          <w:sz w:val="22"/>
        </w:rPr>
        <w:t>：自动关闭该项目，标记为【未缴费-关闭】</w:t>
      </w:r>
    </w:p>
    <w:p>
      <w:pPr>
        <w:pStyle w:val="3"/>
        <w:spacing w:before="300" w:after="120" w:line="288" w:lineRule="auto"/>
        <w:ind w:left="907"/>
        <w:jc w:val="left"/>
        <w:outlineLvl w:val="2"/>
      </w:pPr>
      <w:bookmarkStart w:name="heading_27" w:id="27"/>
      <w:r>
        <w:rPr>
          <w:rFonts w:eastAsia="等线" w:ascii="Arial" w:cs="Arial" w:hAnsi="Arial"/>
          <w:color w:val="3370ff"/>
          <w:sz w:val="30"/>
        </w:rPr>
        <w:t xml:space="preserve">4.4.2 </w:t>
      </w:r>
      <w:r>
        <w:rPr>
          <w:rFonts w:eastAsia="等线" w:ascii="Arial" w:cs="Arial" w:hAnsi="Arial"/>
          <w:b w:val="true"/>
          <w:sz w:val="30"/>
        </w:rPr>
        <w:t>报告上传/修改</w:t>
      </w:r>
      <w:bookmarkEnd w:id="27"/>
    </w:p>
    <w:p>
      <w:pPr>
        <w:numPr>
          <w:numId w:val="86"/>
        </w:numPr>
        <w:spacing w:before="120" w:after="120" w:line="288" w:lineRule="auto"/>
        <w:ind w:left="907"/>
        <w:jc w:val="left"/>
      </w:pPr>
      <w:r>
        <w:rPr>
          <w:rFonts w:eastAsia="等线" w:ascii="Arial" w:cs="Arial" w:hAnsi="Arial"/>
          <w:b w:val="true"/>
          <w:sz w:val="22"/>
        </w:rPr>
        <w:t>用户场景</w:t>
      </w:r>
    </w:p>
    <w:p>
      <w:pPr>
        <w:spacing w:before="120" w:after="120" w:line="288" w:lineRule="auto"/>
        <w:ind w:left="907" w:firstLine="0"/>
        <w:jc w:val="left"/>
      </w:pPr>
      <w:r>
        <w:rPr>
          <w:rFonts w:eastAsia="等线" w:ascii="Arial" w:cs="Arial" w:hAnsi="Arial"/>
          <w:color w:val="245bdb"/>
          <w:sz w:val="22"/>
        </w:rPr>
        <w:t>检测完成之后需要上传报告，同时也可以多次上次检测报告</w:t>
      </w:r>
    </w:p>
    <w:p>
      <w:pPr>
        <w:numPr>
          <w:numId w:val="87"/>
        </w:numPr>
        <w:spacing w:before="120" w:after="120" w:line="288" w:lineRule="auto"/>
        <w:ind w:left="907"/>
        <w:jc w:val="left"/>
      </w:pPr>
      <w:r>
        <w:rPr>
          <w:rFonts w:eastAsia="等线" w:ascii="Arial" w:cs="Arial" w:hAnsi="Arial"/>
          <w:b w:val="true"/>
          <w:sz w:val="22"/>
        </w:rPr>
        <w:t>功能描述</w:t>
      </w:r>
    </w:p>
    <w:p>
      <w:pPr>
        <w:spacing w:before="120" w:after="120" w:line="288" w:lineRule="auto"/>
        <w:ind w:left="907"/>
        <w:jc w:val="left"/>
      </w:pPr>
      <w:r>
        <w:rPr>
          <w:rFonts w:eastAsia="等线" w:ascii="Arial" w:cs="Arial" w:hAnsi="Arial"/>
          <w:color w:val="245bdb"/>
          <w:sz w:val="22"/>
        </w:rPr>
        <w:t>检测完成后生成对应报告，可以将报告上传到项目，多次上传不会覆盖上次的报告，多个报告会同时存在。</w:t>
      </w:r>
    </w:p>
    <w:p>
      <w:pPr>
        <w:numPr>
          <w:numId w:val="88"/>
        </w:numPr>
        <w:spacing w:before="120" w:after="120" w:line="288" w:lineRule="auto"/>
        <w:ind w:left="907"/>
        <w:jc w:val="left"/>
      </w:pPr>
      <w:r>
        <w:rPr>
          <w:rFonts w:eastAsia="等线" w:ascii="Arial" w:cs="Arial" w:hAnsi="Arial"/>
          <w:b w:val="true"/>
          <w:sz w:val="22"/>
        </w:rPr>
        <w:t>需求说明</w:t>
      </w:r>
    </w:p>
    <w:p>
      <w:pPr>
        <w:spacing w:before="120" w:after="120" w:line="288" w:lineRule="auto"/>
        <w:ind w:left="907"/>
        <w:jc w:val="left"/>
      </w:pPr>
      <w:r>
        <w:rPr>
          <w:rFonts w:eastAsia="等线" w:ascii="Arial" w:cs="Arial" w:hAnsi="Arial"/>
          <w:color w:val="245bdb"/>
          <w:sz w:val="22"/>
        </w:rPr>
        <w:t xml:space="preserve">报告上传后则表示检测已经完成，项目状态变更为 </w:t>
      </w:r>
      <w:r>
        <w:rPr>
          <w:rFonts w:eastAsia="等线" w:ascii="Arial" w:cs="Arial" w:hAnsi="Arial"/>
          <w:b w:val="true"/>
          <w:color w:val="245bdb"/>
          <w:sz w:val="22"/>
        </w:rPr>
        <w:t>报告已上传</w:t>
      </w:r>
      <w:r>
        <w:rPr>
          <w:rFonts w:eastAsia="等线" w:ascii="Arial" w:cs="Arial" w:hAnsi="Arial"/>
          <w:color w:val="245bdb"/>
          <w:sz w:val="22"/>
        </w:rPr>
        <w:t>，并且会通知基层医院下载报告</w:t>
      </w:r>
    </w:p>
    <w:p>
      <w:pPr>
        <w:spacing w:before="120" w:after="120" w:line="288" w:lineRule="auto"/>
        <w:ind w:left="907"/>
        <w:jc w:val="left"/>
      </w:pPr>
      <w:r>
        <w:rPr>
          <w:rFonts w:eastAsia="等线" w:ascii="Arial" w:cs="Arial" w:hAnsi="Arial"/>
          <w:color w:val="245bdb"/>
          <w:sz w:val="22"/>
        </w:rPr>
        <w:t>每个项目有独立诊断记录，报告的版本分多个，暂时可以分为两个类别，初步报告和最终报告，然后会有生成时间，或者是版本号（版本号是内置的编号，不显示）。</w:t>
      </w:r>
    </w:p>
    <w:p>
      <w:pPr>
        <w:spacing w:before="120" w:after="120" w:line="288" w:lineRule="auto"/>
        <w:ind w:left="907"/>
        <w:jc w:val="left"/>
      </w:pPr>
      <w:r>
        <w:rPr>
          <w:rFonts w:eastAsia="等线" w:ascii="Arial" w:cs="Arial" w:hAnsi="Arial"/>
          <w:color w:val="245bdb"/>
          <w:sz w:val="22"/>
        </w:rPr>
        <w:t>上传报告需要上传一个报告的图片，选择是否为初步报告、最终报告，或者是加检报告，还可以添加报告描述。</w:t>
      </w:r>
    </w:p>
    <w:tbl>
      <w:tblPr>
        <w:tblW w:w="0" w:type="auto"/>
        <w:tblInd w:w="907" w:type="dxa"/>
        <w:tblBorders>
          <w:top w:val="single" w:color="dee0e3"/>
          <w:left w:val="single" w:color="dee0e3"/>
          <w:bottom w:val="single" w:color="dee0e3"/>
          <w:right w:val="single" w:color="dee0e3"/>
          <w:insideH w:val="single" w:color="dee0e3"/>
          <w:insideV w:val="single" w:color="dee0e3"/>
        </w:tblBorders>
        <w:tblLayout w:type="fixed"/>
      </w:tblPr>
      <w:tblGrid>
        <w:gridCol w:w="7373"/>
      </w:tblGrid>
      <w:tr>
        <w:tc>
          <w:tcPr>
            <w:tcW w:w="7373" w:type="dxa"/>
            <w:shd w:color="auto" w:val="clear" w:fill="f5f6f7"/>
            <w:tcMar>
              <w:top w:type="dxa" w:w="60"/>
              <w:left w:type="dxa" w:w="120"/>
              <w:bottom w:type="dxa" w:w="30"/>
              <w:right w:type="dxa" w:w="120"/>
            </w:tcMar>
          </w:tcPr>
          <w:p>
            <w:pPr>
              <w:spacing w:before="120" w:after="120" w:line="288" w:lineRule="auto"/>
              <w:jc w:val="left"/>
            </w:pPr>
            <w:r>
              <w:rPr>
                <w:rFonts w:eastAsia="Consolas" w:ascii="Consolas" w:cs="Consolas" w:hAnsi="Consolas"/>
                <w:color w:val="646a73"/>
                <w:sz w:val="22"/>
              </w:rPr>
              <w:t>json</w:t>
              <w:br w:type="textWrapping"/>
            </w:r>
            <w:r>
              <w:rPr>
                <w:rFonts w:eastAsia="Consolas" w:ascii="Consolas" w:cs="Consolas" w:hAnsi="Consolas"/>
                <w:color w:val="646a73"/>
                <w:sz w:val="22"/>
              </w:rPr>
              <w:t>报告的结构</w:t>
              <w:br/>
            </w:r>
            <w:r>
              <w:rPr>
                <w:rFonts w:eastAsia="Consolas" w:ascii="Consolas" w:cs="Consolas" w:hAnsi="Consolas"/>
                <w:sz w:val="22"/>
              </w:rPr>
              <w:t>{</w:t>
              <w:br/>
              <w:t xml:space="preserve">  "申请单号": "PA20250423001",</w:t>
              <w:br/>
              <w:t xml:space="preserve">  "主报告编号": "RPT-001",</w:t>
              <w:br/>
              <w:t xml:space="preserve">  "检测项目": [</w:t>
              <w:br/>
              <w:t xml:space="preserve">    {</w:t>
              <w:br/>
              <w:t xml:space="preserve">      "项目ID": "GENE-001",</w:t>
              <w:br/>
              <w:t xml:space="preserve">      "状态": "已完成",</w:t>
              <w:br/>
              <w:t xml:space="preserve">      "结果": "EGFR突变阳性",</w:t>
              <w:br/>
              <w:t xml:space="preserve">      "加检关联": []</w:t>
              <w:br/>
              <w:t xml:space="preserve">    },</w:t>
              <w:br/>
              <w:t xml:space="preserve">    {</w:t>
              <w:br/>
              <w:t xml:space="preserve">      "项目ID": "IHC-005",</w:t>
              <w:br/>
              <w:t xml:space="preserve">      "状态": "加检中",</w:t>
              <w:br/>
              <w:t xml:space="preserve">      "结果": "PD-L1 80%",</w:t>
              <w:br/>
              <w:t xml:space="preserve">      "加检关联": ["RPT-001-V2"]</w:t>
              <w:br/>
              <w:t xml:space="preserve">    }</w:t>
              <w:br/>
              <w:t xml:space="preserve">  ],</w:t>
              <w:br/>
              <w:t xml:space="preserve">  "报告版本": [</w:t>
              <w:br/>
              <w:t xml:space="preserve">    {</w:t>
              <w:br/>
              <w:t xml:space="preserve">      "版本号": "V1.0",</w:t>
              <w:br/>
              <w:t xml:space="preserve">      "类型": "初步报告",</w:t>
              <w:br/>
              <w:t xml:space="preserve">      "生成时间": "2025-04-25"</w:t>
              <w:br/>
              <w:t xml:space="preserve">    },</w:t>
              <w:br/>
              <w:t xml:space="preserve">    {</w:t>
              <w:br/>
              <w:t xml:space="preserve">      "版本号": "V2.0",</w:t>
              <w:br/>
              <w:t xml:space="preserve">      "类型": "最终报告",</w:t>
              <w:br/>
              <w:t xml:space="preserve">      "生成时间": "2025-04-28"</w:t>
              <w:br/>
              <w:t xml:space="preserve">    }</w:t>
              <w:br/>
              <w:t xml:space="preserve">  ]</w:t>
              <w:br/>
            </w:r>
            <w:r>
              <w:rPr>
                <w:rFonts w:eastAsia="Consolas" w:ascii="Consolas" w:cs="Consolas" w:hAnsi="Consolas"/>
                <w:sz w:val="22"/>
              </w:rPr>
              <w:t>}</w:t>
            </w:r>
          </w:p>
        </w:tc>
      </w:tr>
    </w:tbl>
    <w:p>
      <w:pPr>
        <w:pStyle w:val="3"/>
        <w:spacing w:before="300" w:after="120" w:line="288" w:lineRule="auto"/>
        <w:ind w:left="907"/>
        <w:jc w:val="left"/>
        <w:outlineLvl w:val="2"/>
      </w:pPr>
      <w:bookmarkStart w:name="heading_28" w:id="28"/>
      <w:r>
        <w:rPr>
          <w:rFonts w:eastAsia="等线" w:ascii="Arial" w:cs="Arial" w:hAnsi="Arial"/>
          <w:color w:val="3370ff"/>
          <w:sz w:val="30"/>
        </w:rPr>
        <w:t xml:space="preserve">4.4.3 </w:t>
      </w:r>
      <w:r>
        <w:rPr>
          <w:rFonts w:eastAsia="等线" w:ascii="Arial" w:cs="Arial" w:hAnsi="Arial"/>
          <w:b w:val="true"/>
          <w:sz w:val="30"/>
        </w:rPr>
        <w:t>加检流程</w:t>
      </w:r>
      <w:bookmarkEnd w:id="28"/>
    </w:p>
    <w:p>
      <w:pPr>
        <w:numPr>
          <w:numId w:val="89"/>
        </w:numPr>
        <w:spacing w:before="120" w:after="120" w:line="288" w:lineRule="auto"/>
        <w:ind w:left="907"/>
        <w:jc w:val="left"/>
      </w:pPr>
      <w:r>
        <w:rPr>
          <w:rFonts w:eastAsia="等线" w:ascii="Arial" w:cs="Arial" w:hAnsi="Arial"/>
          <w:b w:val="true"/>
          <w:sz w:val="22"/>
        </w:rPr>
        <w:t>用户场景</w:t>
      </w:r>
    </w:p>
    <w:p>
      <w:pPr>
        <w:spacing w:before="120" w:after="120" w:line="288" w:lineRule="auto"/>
        <w:ind w:left="907" w:firstLine="0"/>
        <w:jc w:val="left"/>
      </w:pPr>
      <w:r>
        <w:rPr>
          <w:rFonts w:eastAsia="等线" w:ascii="Arial" w:cs="Arial" w:hAnsi="Arial"/>
          <w:color w:val="245bdb"/>
          <w:sz w:val="22"/>
        </w:rPr>
        <w:t>医生在诊断过程中认为有必要进行额外检测（如加做IHC或基因检测），需提交加做申请。</w:t>
      </w:r>
    </w:p>
    <w:p>
      <w:pPr>
        <w:numPr>
          <w:numId w:val="90"/>
        </w:numPr>
        <w:spacing w:before="120" w:after="120" w:line="288" w:lineRule="auto"/>
        <w:ind w:left="907"/>
        <w:jc w:val="left"/>
      </w:pPr>
      <w:r>
        <w:rPr>
          <w:rFonts w:eastAsia="等线" w:ascii="Arial" w:cs="Arial" w:hAnsi="Arial"/>
          <w:b w:val="true"/>
          <w:sz w:val="22"/>
        </w:rPr>
        <w:t>功能描述</w:t>
      </w:r>
    </w:p>
    <w:p>
      <w:pPr>
        <w:spacing w:before="120" w:after="120" w:line="288" w:lineRule="auto"/>
        <w:ind w:left="907"/>
        <w:jc w:val="left"/>
      </w:pPr>
      <w:r>
        <w:rPr>
          <w:rFonts w:eastAsia="等线" w:ascii="Arial" w:cs="Arial" w:hAnsi="Arial"/>
          <w:color w:val="245bdb"/>
          <w:sz w:val="22"/>
        </w:rPr>
        <w:t>中心医院医生在上传初步报告后可申请加做项目，需获取患者或家属知情同意并完成缴费。</w:t>
      </w:r>
    </w:p>
    <w:p>
      <w:pPr>
        <w:numPr>
          <w:numId w:val="91"/>
        </w:numPr>
        <w:spacing w:before="120" w:after="120" w:line="288" w:lineRule="auto"/>
        <w:ind w:left="907"/>
        <w:jc w:val="left"/>
      </w:pPr>
      <w:r>
        <w:rPr>
          <w:rFonts w:eastAsia="等线" w:ascii="Arial" w:cs="Arial" w:hAnsi="Arial"/>
          <w:b w:val="true"/>
          <w:sz w:val="22"/>
        </w:rPr>
        <w:t>需求说明</w:t>
      </w:r>
    </w:p>
    <w:p>
      <w:pPr>
        <w:spacing w:before="120" w:after="120" w:line="288" w:lineRule="auto"/>
        <w:ind w:left="907"/>
        <w:jc w:val="left"/>
      </w:pPr>
      <w:r>
        <w:rPr>
          <w:rFonts w:eastAsia="等线" w:ascii="Arial" w:cs="Arial" w:hAnsi="Arial"/>
          <w:color w:val="245bdb"/>
          <w:sz w:val="22"/>
        </w:rPr>
        <w:t>（1）</w:t>
      </w:r>
      <w:r>
        <w:rPr>
          <w:rFonts w:eastAsia="等线" w:ascii="Arial" w:cs="Arial" w:hAnsi="Arial"/>
          <w:color w:val="245bdb"/>
          <w:sz w:val="22"/>
        </w:rPr>
        <w:t>支持添加加做检测项目（从预设的检测项目列表中选择）</w:t>
      </w:r>
    </w:p>
    <w:p>
      <w:pPr>
        <w:spacing w:before="120" w:after="120" w:line="288" w:lineRule="auto"/>
        <w:ind w:left="907"/>
        <w:jc w:val="left"/>
      </w:pPr>
      <w:r>
        <w:rPr>
          <w:rFonts w:eastAsia="等线" w:ascii="Arial" w:cs="Arial" w:hAnsi="Arial"/>
          <w:color w:val="245bdb"/>
          <w:sz w:val="22"/>
        </w:rPr>
        <w:t>（2）</w:t>
      </w:r>
      <w:r>
        <w:rPr>
          <w:rFonts w:eastAsia="等线" w:ascii="Arial" w:cs="Arial" w:hAnsi="Arial"/>
          <w:color w:val="245bdb"/>
          <w:sz w:val="22"/>
        </w:rPr>
        <w:t>系统自动生成新的检测项目子项，标记为【待缴费】</w:t>
      </w:r>
    </w:p>
    <w:p>
      <w:pPr>
        <w:spacing w:before="120" w:after="120" w:line="288" w:lineRule="auto"/>
        <w:ind w:left="907"/>
        <w:jc w:val="left"/>
      </w:pPr>
      <w:r>
        <w:rPr>
          <w:rFonts w:eastAsia="等线" w:ascii="Arial" w:cs="Arial" w:hAnsi="Arial"/>
          <w:color w:val="245bdb"/>
          <w:sz w:val="22"/>
        </w:rPr>
        <w:t>（3）</w:t>
      </w:r>
      <w:r>
        <w:rPr>
          <w:rFonts w:eastAsia="等线" w:ascii="Arial" w:cs="Arial" w:hAnsi="Arial"/>
          <w:color w:val="245bdb"/>
          <w:sz w:val="22"/>
        </w:rPr>
        <w:t>显示加做理由文本输入框（医生填写）</w:t>
      </w:r>
    </w:p>
    <w:p>
      <w:pPr>
        <w:spacing w:before="120" w:after="120" w:line="288" w:lineRule="auto"/>
        <w:ind w:left="907"/>
        <w:jc w:val="left"/>
      </w:pPr>
      <w:r>
        <w:rPr>
          <w:rFonts w:eastAsia="等线" w:ascii="Arial" w:cs="Arial" w:hAnsi="Arial"/>
          <w:color w:val="245bdb"/>
          <w:sz w:val="22"/>
        </w:rPr>
        <w:t>（4）</w:t>
      </w:r>
      <w:r>
        <w:rPr>
          <w:rFonts w:eastAsia="等线" w:ascii="Arial" w:cs="Arial" w:hAnsi="Arial"/>
          <w:color w:val="245bdb"/>
          <w:sz w:val="22"/>
        </w:rPr>
        <w:t>基层医院需联系患者并完成缴费后更新状态为【已缴费】</w:t>
      </w:r>
    </w:p>
    <w:p>
      <w:pPr>
        <w:spacing w:before="120" w:after="120" w:line="288" w:lineRule="auto"/>
        <w:ind w:left="907"/>
        <w:jc w:val="left"/>
      </w:pPr>
      <w:r>
        <w:rPr>
          <w:rFonts w:eastAsia="等线" w:ascii="Arial" w:cs="Arial" w:hAnsi="Arial"/>
          <w:color w:val="245bdb"/>
          <w:sz w:val="22"/>
        </w:rPr>
        <w:t>（5）</w:t>
      </w:r>
      <w:r>
        <w:rPr>
          <w:rFonts w:eastAsia="等线" w:ascii="Arial" w:cs="Arial" w:hAnsi="Arial"/>
          <w:color w:val="245bdb"/>
          <w:sz w:val="22"/>
        </w:rPr>
        <w:t>若患者拒绝加做，需勾选“拒绝加做”，并填写原因</w:t>
      </w:r>
    </w:p>
    <w:p>
      <w:pPr>
        <w:spacing w:before="120" w:after="120" w:line="288" w:lineRule="auto"/>
        <w:ind w:left="907"/>
        <w:jc w:val="left"/>
      </w:pPr>
      <w:r>
        <w:rPr>
          <w:rFonts w:eastAsia="等线" w:ascii="Arial" w:cs="Arial" w:hAnsi="Arial"/>
          <w:color w:val="245bdb"/>
          <w:sz w:val="22"/>
        </w:rPr>
        <w:t>（6）</w:t>
      </w:r>
      <w:r>
        <w:rPr>
          <w:rFonts w:eastAsia="等线" w:ascii="Arial" w:cs="Arial" w:hAnsi="Arial"/>
          <w:color w:val="245bdb"/>
          <w:sz w:val="22"/>
        </w:rPr>
        <w:t>如果加做项目补寄样本，可以在检测项目后面</w:t>
      </w:r>
      <w:r>
        <w:rPr>
          <w:rFonts w:eastAsia="等线" w:ascii="Arial" w:cs="Arial" w:hAnsi="Arial"/>
          <w:b w:val="true"/>
          <w:color w:val="245bdb"/>
          <w:sz w:val="22"/>
        </w:rPr>
        <w:t>是否补寄样本</w:t>
      </w:r>
      <w:r>
        <w:rPr>
          <w:rFonts w:eastAsia="等线" w:ascii="Arial" w:cs="Arial" w:hAnsi="Arial"/>
          <w:color w:val="245bdb"/>
          <w:sz w:val="22"/>
        </w:rPr>
        <w:t>选择是，然后填写需要补寄的样本，样本信息用文本描述填写</w:t>
      </w:r>
    </w:p>
    <w:p>
      <w:pPr>
        <w:pStyle w:val="2"/>
        <w:spacing w:before="320" w:after="120" w:line="288" w:lineRule="auto"/>
        <w:ind w:left="453"/>
        <w:jc w:val="left"/>
        <w:outlineLvl w:val="1"/>
      </w:pPr>
      <w:bookmarkStart w:name="heading_29" w:id="29"/>
      <w:r>
        <w:rPr>
          <w:rFonts w:eastAsia="等线" w:ascii="Arial" w:cs="Arial" w:hAnsi="Arial"/>
          <w:color w:val="3370ff"/>
          <w:sz w:val="32"/>
        </w:rPr>
        <w:t xml:space="preserve">4.5 </w:t>
      </w:r>
      <w:r>
        <w:rPr>
          <w:rFonts w:eastAsia="等线" w:ascii="Arial" w:cs="Arial" w:hAnsi="Arial"/>
          <w:b w:val="true"/>
          <w:sz w:val="32"/>
        </w:rPr>
        <w:t>统计与报表</w:t>
      </w:r>
      <w:bookmarkEnd w:id="29"/>
    </w:p>
    <w:p>
      <w:pPr>
        <w:pStyle w:val="3"/>
        <w:spacing w:before="300" w:after="120" w:line="288" w:lineRule="auto"/>
        <w:ind w:left="907"/>
        <w:jc w:val="left"/>
        <w:outlineLvl w:val="2"/>
      </w:pPr>
      <w:bookmarkStart w:name="heading_30" w:id="30"/>
      <w:r>
        <w:rPr>
          <w:rFonts w:eastAsia="等线" w:ascii="Arial" w:cs="Arial" w:hAnsi="Arial"/>
          <w:color w:val="3370ff"/>
          <w:sz w:val="30"/>
        </w:rPr>
        <w:t xml:space="preserve">4.5.1 </w:t>
      </w:r>
      <w:r>
        <w:rPr>
          <w:rFonts w:eastAsia="等线" w:ascii="Arial" w:cs="Arial" w:hAnsi="Arial"/>
          <w:b w:val="true"/>
          <w:sz w:val="30"/>
        </w:rPr>
        <w:t>数据看板</w:t>
      </w:r>
      <w:bookmarkEnd w:id="30"/>
    </w:p>
    <w:p>
      <w:pPr>
        <w:numPr>
          <w:numId w:val="92"/>
        </w:numPr>
        <w:spacing w:before="120" w:after="120" w:line="288" w:lineRule="auto"/>
        <w:ind w:left="1360"/>
        <w:jc w:val="left"/>
      </w:pPr>
      <w:r>
        <w:rPr>
          <w:rFonts w:eastAsia="等线" w:ascii="Arial" w:cs="Arial" w:hAnsi="Arial"/>
          <w:b w:val="true"/>
          <w:sz w:val="22"/>
        </w:rPr>
        <w:t>用户场景</w:t>
      </w:r>
    </w:p>
    <w:p>
      <w:pPr>
        <w:spacing w:before="120" w:after="120" w:line="288" w:lineRule="auto"/>
        <w:ind w:left="1360"/>
        <w:jc w:val="left"/>
      </w:pPr>
      <w:r>
        <w:rPr>
          <w:rFonts w:eastAsia="等线" w:ascii="Arial" w:cs="Arial" w:hAnsi="Arial"/>
          <w:color w:val="245bdb"/>
          <w:sz w:val="22"/>
        </w:rPr>
        <w:t>拥有管理员权限的用户获取不同时间维度中心医院接受到单位或者地区接受的病例的可视化统计信息，用以了解送检系统的运作和辅助决策。</w:t>
      </w:r>
    </w:p>
    <w:p>
      <w:pPr>
        <w:numPr>
          <w:numId w:val="93"/>
        </w:numPr>
        <w:spacing w:before="120" w:after="120" w:line="288" w:lineRule="auto"/>
        <w:ind w:left="1360"/>
        <w:jc w:val="left"/>
      </w:pPr>
      <w:r>
        <w:rPr>
          <w:rFonts w:eastAsia="等线" w:ascii="Arial" w:cs="Arial" w:hAnsi="Arial"/>
          <w:b w:val="true"/>
          <w:sz w:val="22"/>
        </w:rPr>
        <w:t>功能描述</w:t>
      </w:r>
    </w:p>
    <w:p>
      <w:pPr>
        <w:spacing w:before="120" w:after="120" w:line="288" w:lineRule="auto"/>
        <w:ind w:left="1360"/>
        <w:jc w:val="left"/>
      </w:pPr>
      <w:r>
        <w:rPr>
          <w:rFonts w:eastAsia="等线" w:ascii="Arial" w:cs="Arial" w:hAnsi="Arial"/>
          <w:color w:val="245bdb"/>
          <w:sz w:val="22"/>
        </w:rPr>
        <w:t>拥有查看权限的管理者可以选择切换统计信息的维度，获取不同方向的统计数据。</w:t>
      </w:r>
    </w:p>
    <w:p>
      <w:pPr>
        <w:numPr>
          <w:numId w:val="94"/>
        </w:numPr>
        <w:spacing w:before="120" w:after="120" w:line="288" w:lineRule="auto"/>
        <w:ind w:left="1360"/>
        <w:jc w:val="left"/>
      </w:pPr>
      <w:r>
        <w:rPr>
          <w:rFonts w:eastAsia="等线" w:ascii="Arial" w:cs="Arial" w:hAnsi="Arial"/>
          <w:b w:val="true"/>
          <w:sz w:val="22"/>
        </w:rPr>
        <w:t>需求说明</w:t>
      </w:r>
    </w:p>
    <w:p>
      <w:pPr>
        <w:spacing w:before="120" w:after="120" w:line="288" w:lineRule="auto"/>
        <w:ind w:left="1360"/>
        <w:jc w:val="left"/>
      </w:pPr>
      <w:r>
        <w:rPr>
          <w:rFonts w:eastAsia="等线" w:ascii="Arial" w:cs="Arial" w:hAnsi="Arial"/>
          <w:color w:val="245bdb"/>
          <w:sz w:val="22"/>
        </w:rPr>
        <w:t>在页面中可以选择统计的时间维度，点击选择下拉栏选择时间跨越范围比如一季度或者某一年中的第几月份。</w:t>
      </w:r>
    </w:p>
    <w:p>
      <w:pPr>
        <w:numPr>
          <w:numId w:val="95"/>
        </w:numPr>
        <w:spacing w:before="120" w:after="120" w:line="288" w:lineRule="auto"/>
        <w:ind w:left="1360"/>
        <w:jc w:val="left"/>
      </w:pPr>
      <w:r>
        <w:rPr>
          <w:rFonts w:eastAsia="等线" w:ascii="Arial" w:cs="Arial" w:hAnsi="Arial"/>
          <w:color w:val="245bdb"/>
          <w:sz w:val="22"/>
        </w:rPr>
        <w:t>以曲线图的方式展示中心医院一季度/一月中接受到的组化例数和基因检测项目的总数。</w:t>
      </w:r>
    </w:p>
    <w:p>
      <w:pPr>
        <w:numPr>
          <w:numId w:val="96"/>
        </w:numPr>
        <w:spacing w:before="120" w:after="120" w:line="288" w:lineRule="auto"/>
        <w:ind w:left="1360"/>
        <w:jc w:val="left"/>
      </w:pPr>
      <w:r>
        <w:rPr>
          <w:rFonts w:eastAsia="等线" w:ascii="Arial" w:cs="Arial" w:hAnsi="Arial"/>
          <w:color w:val="245bdb"/>
          <w:sz w:val="22"/>
        </w:rPr>
        <w:t>以柱状图的方式展示一季度/一月中接受到但由于各种原因没有完成的检测项目总数变化。</w:t>
      </w:r>
    </w:p>
    <w:p>
      <w:pPr>
        <w:numPr>
          <w:numId w:val="97"/>
        </w:numPr>
        <w:spacing w:before="120" w:after="120" w:line="288" w:lineRule="auto"/>
        <w:ind w:left="1360"/>
        <w:jc w:val="left"/>
      </w:pPr>
      <w:r>
        <w:rPr>
          <w:rFonts w:eastAsia="等线" w:ascii="Arial" w:cs="Arial" w:hAnsi="Arial"/>
          <w:color w:val="245bdb"/>
          <w:sz w:val="22"/>
        </w:rPr>
        <w:t>展示每个月中加检项目中申请的总数</w:t>
      </w:r>
    </w:p>
    <w:p>
      <w:pPr>
        <w:numPr>
          <w:numId w:val="98"/>
        </w:numPr>
        <w:spacing w:before="120" w:after="120" w:line="288" w:lineRule="auto"/>
        <w:ind w:left="1360"/>
        <w:jc w:val="left"/>
      </w:pPr>
      <w:r>
        <w:rPr>
          <w:rFonts w:eastAsia="等线" w:ascii="Arial" w:cs="Arial" w:hAnsi="Arial"/>
          <w:color w:val="245bdb"/>
          <w:sz w:val="22"/>
        </w:rPr>
        <w:t>存在地区统计数量饼状图，根据样品来源地区（地级市）的不同进行分类，统计来自各个地区样品的总数并在页面中以饼状图的方式动态显示一季度/一月以来各地区的对总数的占比情况。</w:t>
      </w:r>
    </w:p>
    <w:p>
      <w:pPr>
        <w:numPr>
          <w:numId w:val="99"/>
        </w:numPr>
        <w:spacing w:before="120" w:after="120" w:line="288" w:lineRule="auto"/>
        <w:ind w:left="1360"/>
        <w:jc w:val="left"/>
      </w:pPr>
      <w:r>
        <w:rPr>
          <w:rFonts w:eastAsia="等线" w:ascii="Arial" w:cs="Arial" w:hAnsi="Arial"/>
          <w:color w:val="245bdb"/>
          <w:sz w:val="22"/>
        </w:rPr>
        <w:t>以柱状图的方式展示各个医院在一季度/一个月的申请数量。</w:t>
      </w:r>
    </w:p>
    <w:p>
      <w:pPr>
        <w:numPr>
          <w:numId w:val="100"/>
        </w:numPr>
        <w:spacing w:before="120" w:after="120" w:line="288" w:lineRule="auto"/>
        <w:ind w:left="1360"/>
        <w:jc w:val="left"/>
      </w:pPr>
      <w:r>
        <w:rPr>
          <w:rFonts w:eastAsia="等线" w:ascii="Arial" w:cs="Arial" w:hAnsi="Arial"/>
          <w:color w:val="245bdb"/>
          <w:sz w:val="22"/>
        </w:rPr>
        <w:t>按照检测项目进行分类，以检测项目的执行次数作为指标进行排名，直观展示一个季度/一个月以来各个项目的进行检测的频度。</w:t>
      </w:r>
    </w:p>
    <w:p>
      <w:pPr>
        <w:pStyle w:val="3"/>
        <w:spacing w:before="300" w:after="120" w:line="288" w:lineRule="auto"/>
        <w:ind w:left="907"/>
        <w:jc w:val="left"/>
        <w:outlineLvl w:val="2"/>
      </w:pPr>
      <w:bookmarkStart w:name="heading_31" w:id="31"/>
      <w:r>
        <w:rPr>
          <w:rFonts w:eastAsia="等线" w:ascii="Arial" w:cs="Arial" w:hAnsi="Arial"/>
          <w:color w:val="3370ff"/>
          <w:sz w:val="30"/>
        </w:rPr>
        <w:t xml:space="preserve">4.5.2 </w:t>
      </w:r>
      <w:r>
        <w:rPr>
          <w:rFonts w:eastAsia="等线" w:ascii="Arial" w:cs="Arial" w:hAnsi="Arial"/>
          <w:b w:val="true"/>
          <w:sz w:val="30"/>
        </w:rPr>
        <w:t>统计数据</w:t>
      </w:r>
      <w:bookmarkEnd w:id="31"/>
    </w:p>
    <w:p>
      <w:pPr>
        <w:numPr>
          <w:numId w:val="101"/>
        </w:numPr>
        <w:spacing w:before="120" w:after="120" w:line="288" w:lineRule="auto"/>
        <w:ind w:left="1360"/>
        <w:jc w:val="left"/>
      </w:pPr>
      <w:r>
        <w:rPr>
          <w:rFonts w:eastAsia="等线" w:ascii="Arial" w:cs="Arial" w:hAnsi="Arial"/>
          <w:b w:val="true"/>
          <w:sz w:val="22"/>
        </w:rPr>
        <w:t>用户场景</w:t>
      </w:r>
    </w:p>
    <w:p>
      <w:pPr>
        <w:spacing w:before="120" w:after="120" w:line="288" w:lineRule="auto"/>
        <w:ind w:left="1360" w:firstLine="0"/>
        <w:jc w:val="left"/>
      </w:pPr>
      <w:r>
        <w:rPr>
          <w:rFonts w:eastAsia="等线" w:ascii="Arial" w:cs="Arial" w:hAnsi="Arial"/>
          <w:color w:val="245bdb"/>
          <w:sz w:val="22"/>
        </w:rPr>
        <w:t>在中心医院有管理员权限的用户需要批量导出基层医院某年份中某季度的表格信息。</w:t>
      </w:r>
    </w:p>
    <w:p>
      <w:pPr>
        <w:numPr>
          <w:numId w:val="102"/>
        </w:numPr>
        <w:spacing w:before="120" w:after="120" w:line="288" w:lineRule="auto"/>
        <w:ind w:left="1360"/>
        <w:jc w:val="left"/>
      </w:pPr>
      <w:r>
        <w:rPr>
          <w:rFonts w:eastAsia="等线" w:ascii="Arial" w:cs="Arial" w:hAnsi="Arial"/>
          <w:b w:val="true"/>
          <w:sz w:val="22"/>
        </w:rPr>
        <w:t>功能描述</w:t>
      </w:r>
    </w:p>
    <w:p>
      <w:pPr>
        <w:spacing w:before="120" w:after="120" w:line="288" w:lineRule="auto"/>
        <w:ind w:left="1360" w:firstLine="0"/>
        <w:jc w:val="left"/>
      </w:pPr>
      <w:r>
        <w:rPr>
          <w:rFonts w:eastAsia="等线" w:ascii="Arial" w:cs="Arial" w:hAnsi="Arial"/>
          <w:color w:val="245bdb"/>
          <w:sz w:val="22"/>
        </w:rPr>
        <w:t>登录具有权限的账号，选择需要导出的年份和季度，浏览相关信息后导出到表格文件进行下载。</w:t>
      </w:r>
    </w:p>
    <w:p>
      <w:pPr>
        <w:numPr>
          <w:numId w:val="103"/>
        </w:numPr>
        <w:spacing w:before="120" w:after="120" w:line="288" w:lineRule="auto"/>
        <w:ind w:left="1360"/>
        <w:jc w:val="left"/>
      </w:pPr>
      <w:r>
        <w:rPr>
          <w:rFonts w:eastAsia="等线" w:ascii="Arial" w:cs="Arial" w:hAnsi="Arial"/>
          <w:b w:val="true"/>
          <w:sz w:val="22"/>
        </w:rPr>
        <w:t>需求说明</w:t>
      </w:r>
    </w:p>
    <w:p>
      <w:pPr>
        <w:spacing w:before="120" w:after="120" w:line="288" w:lineRule="auto"/>
        <w:ind w:left="1360" w:firstLine="0"/>
        <w:jc w:val="left"/>
      </w:pPr>
      <w:r>
        <w:rPr>
          <w:rFonts w:eastAsia="等线" w:ascii="Arial" w:cs="Arial" w:hAnsi="Arial"/>
          <w:color w:val="245bdb"/>
          <w:sz w:val="22"/>
        </w:rPr>
        <w:t>登录具有管理员权限的系统之后，选择年份和季度，填写医联体号，在网页中以表格的方式展示希望获取的信息。</w:t>
      </w:r>
    </w:p>
    <w:p>
      <w:pPr>
        <w:spacing w:before="120" w:after="120" w:line="288" w:lineRule="auto"/>
        <w:ind w:left="1360"/>
        <w:jc w:val="left"/>
      </w:pPr>
      <w:r>
        <w:rPr>
          <w:rFonts w:eastAsia="等线" w:ascii="Arial" w:cs="Arial" w:hAnsi="Arial"/>
          <w:color w:val="245bdb"/>
          <w:sz w:val="22"/>
        </w:rPr>
        <w:t>在网页中显示表格信息后，若想查询相关的条目，输入的信息匹配表格中对应的条目。</w:t>
      </w:r>
    </w:p>
    <w:p>
      <w:pPr>
        <w:spacing w:before="120" w:after="120" w:line="288" w:lineRule="auto"/>
        <w:ind w:left="1360"/>
        <w:jc w:val="left"/>
      </w:pPr>
      <w:r>
        <w:rPr>
          <w:rFonts w:eastAsia="等线" w:ascii="Arial" w:cs="Arial" w:hAnsi="Arial"/>
          <w:color w:val="245bdb"/>
          <w:sz w:val="22"/>
        </w:rPr>
        <w:t>浏览之后若有导出表格信息到表格文件中的需要，点击页面中的导出按钮，选择导出的格式进行某季度所有信息的导出。</w:t>
      </w:r>
    </w:p>
    <w:p>
      <w:pPr>
        <w:spacing w:before="120" w:after="120" w:line="288" w:lineRule="auto"/>
        <w:ind w:left="1360"/>
        <w:jc w:val="left"/>
      </w:pPr>
      <w:r>
        <w:rPr>
          <w:rFonts w:eastAsia="等线" w:ascii="Arial" w:cs="Arial" w:hAnsi="Arial"/>
          <w:color w:val="245bdb"/>
          <w:sz w:val="22"/>
        </w:rPr>
        <w:t>具体的表格的表头如下：</w:t>
      </w:r>
    </w:p>
    <w:p>
      <w:pPr>
        <w:spacing w:before="120" w:after="120" w:line="288" w:lineRule="auto"/>
        <w:ind w:left="1360"/>
        <w:jc w:val="left"/>
      </w:pPr>
      <w:r>
        <w:rPr>
          <w:rFonts w:eastAsia="等线" w:ascii="Arial" w:cs="Arial" w:hAnsi="Arial"/>
          <w:color w:val="245bdb"/>
          <w:sz w:val="22"/>
        </w:rPr>
        <w:t>医联体号、收到日期、报告上传日期、患者姓名、医联体单位名称、组化例数量、基因检测项目、审核医师。</w:t>
      </w:r>
    </w:p>
    <w:p>
      <w:pPr>
        <w:pStyle w:val="2"/>
        <w:spacing w:before="320" w:after="120" w:line="288" w:lineRule="auto"/>
        <w:ind w:left="453"/>
        <w:jc w:val="left"/>
        <w:outlineLvl w:val="1"/>
      </w:pPr>
      <w:bookmarkStart w:name="heading_32" w:id="32"/>
      <w:r>
        <w:rPr>
          <w:rFonts w:eastAsia="等线" w:ascii="Arial" w:cs="Arial" w:hAnsi="Arial"/>
          <w:color w:val="3370ff"/>
          <w:sz w:val="32"/>
        </w:rPr>
        <w:t xml:space="preserve">4.6 </w:t>
      </w:r>
      <w:r>
        <w:rPr>
          <w:rFonts w:eastAsia="等线" w:ascii="Arial" w:cs="Arial" w:hAnsi="Arial"/>
          <w:b w:val="true"/>
          <w:sz w:val="32"/>
        </w:rPr>
        <w:t>消息通知</w:t>
      </w:r>
      <w:bookmarkEnd w:id="32"/>
    </w:p>
    <w:p>
      <w:pPr>
        <w:spacing w:before="120" w:after="120" w:line="288" w:lineRule="auto"/>
        <w:ind w:left="453"/>
        <w:jc w:val="left"/>
      </w:pPr>
      <w:r>
        <w:rPr>
          <w:rFonts w:eastAsia="等线" w:ascii="Arial" w:cs="Arial" w:hAnsi="Arial"/>
          <w:color w:val="245bdb"/>
          <w:sz w:val="22"/>
        </w:rPr>
        <w:t>消息通知模块用于保障系统中各关键业务流程节点的信息及时传达给相关角色（基层医院、中心医院医生、管理员等），提升工作效率与流程透明度。系统支持系统内通知（站内信）和外部提醒（如短信、邮件、微信等）双通道扩展设计，初期可优先实现系统内通知。</w:t>
      </w:r>
    </w:p>
    <w:p>
      <w:pPr>
        <w:spacing w:before="120" w:after="120" w:line="288" w:lineRule="auto"/>
        <w:ind w:left="453"/>
        <w:jc w:val="left"/>
      </w:pPr>
      <w:r>
        <w:rPr>
          <w:rFonts w:eastAsia="等线" w:ascii="Arial" w:cs="Arial" w:hAnsi="Arial"/>
          <w:color w:val="245bdb"/>
          <w:sz w:val="22"/>
        </w:rPr>
        <w:t>系统中的关键操作（如申请单提交、审核、缴费、样本接收、检测进度、报告上传等）会自动触发对应的消息通知，确保相关角色（基层医院医生、平台管理员、中心医院医生等）在流程中及时获知状态变化、避免遗漏操作，提高协作效率。</w:t>
      </w:r>
    </w:p>
    <w:p>
      <w:pPr>
        <w:pStyle w:val="3"/>
        <w:spacing w:before="300" w:after="120" w:line="288" w:lineRule="auto"/>
        <w:ind w:left="907"/>
        <w:jc w:val="left"/>
        <w:outlineLvl w:val="2"/>
      </w:pPr>
      <w:bookmarkStart w:name="heading_33" w:id="33"/>
      <w:r>
        <w:rPr>
          <w:rFonts w:eastAsia="等线" w:ascii="Arial" w:cs="Arial" w:hAnsi="Arial"/>
          <w:color w:val="3370ff"/>
          <w:sz w:val="30"/>
        </w:rPr>
        <w:t xml:space="preserve">4.6.1 </w:t>
      </w:r>
      <w:r>
        <w:rPr>
          <w:rFonts w:eastAsia="等线" w:ascii="Arial" w:cs="Arial" w:hAnsi="Arial"/>
          <w:b w:val="true"/>
          <w:sz w:val="30"/>
        </w:rPr>
        <w:t>申请提交与审核</w:t>
      </w:r>
      <w:bookmarkEnd w:id="33"/>
    </w:p>
    <w:p>
      <w:pPr>
        <w:numPr>
          <w:numId w:val="104"/>
        </w:numPr>
        <w:spacing w:before="120" w:after="120" w:line="288" w:lineRule="auto"/>
        <w:ind w:left="1360"/>
        <w:jc w:val="left"/>
      </w:pPr>
      <w:r>
        <w:rPr>
          <w:rFonts w:eastAsia="等线" w:ascii="Arial" w:cs="Arial" w:hAnsi="Arial"/>
          <w:b w:val="true"/>
          <w:sz w:val="22"/>
        </w:rPr>
        <w:t>用户场景</w:t>
      </w:r>
    </w:p>
    <w:p>
      <w:pPr>
        <w:spacing w:before="120" w:after="120" w:line="288" w:lineRule="auto"/>
        <w:ind w:left="1360"/>
        <w:jc w:val="left"/>
      </w:pPr>
      <w:r>
        <w:rPr>
          <w:rFonts w:eastAsia="等线" w:ascii="Arial" w:cs="Arial" w:hAnsi="Arial"/>
          <w:color w:val="245bdb"/>
          <w:sz w:val="22"/>
        </w:rPr>
        <w:t>基层医院医生填写并提交检测申请单，中心医院审核人员需及时收到提醒进行审核，审核结果（通过/退回）也需要通知申请人。</w:t>
      </w:r>
    </w:p>
    <w:p>
      <w:pPr>
        <w:numPr>
          <w:numId w:val="105"/>
        </w:numPr>
        <w:spacing w:before="120" w:after="120" w:line="288" w:lineRule="auto"/>
        <w:ind w:left="1360"/>
        <w:jc w:val="left"/>
      </w:pPr>
      <w:r>
        <w:rPr>
          <w:rFonts w:eastAsia="等线" w:ascii="Arial" w:cs="Arial" w:hAnsi="Arial"/>
          <w:b w:val="true"/>
          <w:sz w:val="22"/>
        </w:rPr>
        <w:t>功能描述</w:t>
      </w:r>
    </w:p>
    <w:p>
      <w:pPr>
        <w:spacing w:before="120" w:after="120" w:line="288" w:lineRule="auto"/>
        <w:ind w:left="1360" w:firstLine="0"/>
        <w:jc w:val="left"/>
      </w:pPr>
      <w:r>
        <w:rPr>
          <w:rFonts w:eastAsia="等线" w:ascii="Arial" w:cs="Arial" w:hAnsi="Arial"/>
          <w:color w:val="245bdb"/>
          <w:sz w:val="22"/>
        </w:rPr>
        <w:t>（1）</w:t>
      </w:r>
      <w:r>
        <w:rPr>
          <w:rFonts w:eastAsia="等线" w:ascii="Arial" w:cs="Arial" w:hAnsi="Arial"/>
          <w:color w:val="245bdb"/>
          <w:sz w:val="22"/>
        </w:rPr>
        <w:t>提交申请单后，中心医院审核人员收到待审核通知。</w:t>
      </w:r>
    </w:p>
    <w:p>
      <w:pPr>
        <w:spacing w:before="120" w:after="120" w:line="288" w:lineRule="auto"/>
        <w:ind w:left="1360"/>
        <w:jc w:val="left"/>
      </w:pPr>
      <w:r>
        <w:rPr>
          <w:rFonts w:eastAsia="等线" w:ascii="Arial" w:cs="Arial" w:hAnsi="Arial"/>
          <w:color w:val="245bdb"/>
          <w:sz w:val="22"/>
        </w:rPr>
        <w:t>（2）</w:t>
      </w:r>
      <w:r>
        <w:rPr>
          <w:rFonts w:eastAsia="等线" w:ascii="Arial" w:cs="Arial" w:hAnsi="Arial"/>
          <w:color w:val="245bdb"/>
          <w:sz w:val="22"/>
        </w:rPr>
        <w:t>审核通过或退回后，申请人收到审核结果通知。</w:t>
      </w:r>
    </w:p>
    <w:p>
      <w:pPr>
        <w:numPr>
          <w:numId w:val="106"/>
        </w:numPr>
        <w:spacing w:before="120" w:after="120" w:line="288" w:lineRule="auto"/>
        <w:ind w:left="1360"/>
        <w:jc w:val="left"/>
      </w:pPr>
      <w:r>
        <w:rPr>
          <w:rFonts w:eastAsia="等线" w:ascii="Arial" w:cs="Arial" w:hAnsi="Arial"/>
          <w:b w:val="true"/>
          <w:sz w:val="22"/>
        </w:rPr>
        <w:t>需求说明</w:t>
      </w:r>
    </w:p>
    <w:p>
      <w:pPr>
        <w:spacing w:before="120" w:after="120" w:line="288" w:lineRule="auto"/>
        <w:ind w:left="1360"/>
        <w:jc w:val="left"/>
      </w:pPr>
      <w:r>
        <w:rPr>
          <w:rFonts w:eastAsia="等线" w:ascii="Arial" w:cs="Arial" w:hAnsi="Arial"/>
          <w:color w:val="245bdb"/>
          <w:sz w:val="22"/>
        </w:rPr>
        <w:t>通知类型：系统消息</w:t>
      </w:r>
    </w:p>
    <w:p>
      <w:pPr>
        <w:spacing w:before="120" w:after="120" w:line="288" w:lineRule="auto"/>
        <w:ind w:left="1360"/>
        <w:jc w:val="left"/>
      </w:pPr>
      <w:r>
        <w:rPr>
          <w:rFonts w:eastAsia="等线" w:ascii="Arial" w:cs="Arial" w:hAnsi="Arial"/>
          <w:color w:val="245bdb"/>
          <w:sz w:val="22"/>
        </w:rPr>
        <w:t>通知接收人：</w:t>
      </w:r>
    </w:p>
    <w:p>
      <w:pPr>
        <w:numPr>
          <w:numId w:val="107"/>
        </w:numPr>
        <w:spacing w:before="120" w:after="120" w:line="288" w:lineRule="auto"/>
        <w:ind w:left="1814"/>
        <w:jc w:val="left"/>
      </w:pPr>
      <w:r>
        <w:rPr>
          <w:rFonts w:eastAsia="等线" w:ascii="Arial" w:cs="Arial" w:hAnsi="Arial"/>
          <w:color w:val="245bdb"/>
          <w:sz w:val="22"/>
        </w:rPr>
        <w:t>提交时：中心医院相关审核人员</w:t>
      </w:r>
    </w:p>
    <w:p>
      <w:pPr>
        <w:numPr>
          <w:numId w:val="108"/>
        </w:numPr>
        <w:spacing w:before="120" w:after="120" w:line="288" w:lineRule="auto"/>
        <w:ind w:left="1814"/>
        <w:jc w:val="left"/>
      </w:pPr>
      <w:r>
        <w:rPr>
          <w:rFonts w:eastAsia="等线" w:ascii="Arial" w:cs="Arial" w:hAnsi="Arial"/>
          <w:color w:val="245bdb"/>
          <w:sz w:val="22"/>
        </w:rPr>
        <w:t>审核完成：申请人（医生）</w:t>
      </w:r>
    </w:p>
    <w:p>
      <w:pPr>
        <w:spacing w:before="120" w:after="120" w:line="288" w:lineRule="auto"/>
        <w:ind w:left="1360"/>
        <w:jc w:val="left"/>
      </w:pPr>
      <w:r>
        <w:rPr>
          <w:rFonts w:eastAsia="等线" w:ascii="Arial" w:cs="Arial" w:hAnsi="Arial"/>
          <w:color w:val="245bdb"/>
          <w:sz w:val="22"/>
        </w:rPr>
        <w:t>通知内容包含：</w:t>
      </w:r>
    </w:p>
    <w:p>
      <w:pPr>
        <w:numPr>
          <w:numId w:val="109"/>
        </w:numPr>
        <w:spacing w:before="120" w:after="120" w:line="288" w:lineRule="auto"/>
        <w:ind w:left="1814"/>
        <w:jc w:val="left"/>
      </w:pPr>
      <w:r>
        <w:rPr>
          <w:rFonts w:eastAsia="等线" w:ascii="Arial" w:cs="Arial" w:hAnsi="Arial"/>
          <w:color w:val="245bdb"/>
          <w:sz w:val="22"/>
        </w:rPr>
        <w:t>申请单编号、患者姓名、操作人、当前状态</w:t>
      </w:r>
    </w:p>
    <w:p>
      <w:pPr>
        <w:numPr>
          <w:numId w:val="110"/>
        </w:numPr>
        <w:spacing w:before="120" w:after="120" w:line="288" w:lineRule="auto"/>
        <w:ind w:left="1814"/>
        <w:jc w:val="left"/>
      </w:pPr>
      <w:r>
        <w:rPr>
          <w:rFonts w:eastAsia="等线" w:ascii="Arial" w:cs="Arial" w:hAnsi="Arial"/>
          <w:color w:val="245bdb"/>
          <w:sz w:val="22"/>
        </w:rPr>
        <w:t>如被退回，附带退回原因</w:t>
      </w:r>
    </w:p>
    <w:p>
      <w:pPr>
        <w:pStyle w:val="3"/>
        <w:spacing w:before="300" w:after="120" w:line="288" w:lineRule="auto"/>
        <w:ind w:left="907"/>
        <w:jc w:val="left"/>
        <w:outlineLvl w:val="2"/>
      </w:pPr>
      <w:bookmarkStart w:name="heading_34" w:id="34"/>
      <w:r>
        <w:rPr>
          <w:rFonts w:eastAsia="等线" w:ascii="Arial" w:cs="Arial" w:hAnsi="Arial"/>
          <w:color w:val="3370ff"/>
          <w:sz w:val="30"/>
        </w:rPr>
        <w:t xml:space="preserve">4.6.2 </w:t>
      </w:r>
      <w:r>
        <w:rPr>
          <w:rFonts w:eastAsia="等线" w:ascii="Arial" w:cs="Arial" w:hAnsi="Arial"/>
          <w:b w:val="true"/>
          <w:sz w:val="30"/>
        </w:rPr>
        <w:t>缴费提醒与确认</w:t>
      </w:r>
      <w:bookmarkEnd w:id="34"/>
    </w:p>
    <w:p>
      <w:pPr>
        <w:numPr>
          <w:numId w:val="111"/>
        </w:numPr>
        <w:spacing w:before="120" w:after="120" w:line="288" w:lineRule="auto"/>
        <w:ind w:left="1360"/>
        <w:jc w:val="left"/>
      </w:pPr>
      <w:r>
        <w:rPr>
          <w:rFonts w:eastAsia="等线" w:ascii="Arial" w:cs="Arial" w:hAnsi="Arial"/>
          <w:b w:val="true"/>
          <w:sz w:val="22"/>
        </w:rPr>
        <w:t>用户场景</w:t>
      </w:r>
    </w:p>
    <w:p>
      <w:pPr>
        <w:spacing w:before="120" w:after="120" w:line="288" w:lineRule="auto"/>
        <w:ind w:left="1360"/>
        <w:jc w:val="left"/>
      </w:pPr>
      <w:r>
        <w:rPr>
          <w:rFonts w:eastAsia="等线" w:ascii="Arial" w:cs="Arial" w:hAnsi="Arial"/>
          <w:color w:val="245bdb"/>
          <w:sz w:val="22"/>
        </w:rPr>
        <w:t>审核通过后，申请医生或患者家属需缴费，缴费完成后系统需要通知财务或检测准备人员。</w:t>
      </w:r>
    </w:p>
    <w:p>
      <w:pPr>
        <w:numPr>
          <w:numId w:val="112"/>
        </w:numPr>
        <w:spacing w:before="120" w:after="120" w:line="288" w:lineRule="auto"/>
        <w:ind w:left="1360"/>
        <w:jc w:val="left"/>
      </w:pPr>
      <w:r>
        <w:rPr>
          <w:rFonts w:eastAsia="等线" w:ascii="Arial" w:cs="Arial" w:hAnsi="Arial"/>
          <w:b w:val="true"/>
          <w:sz w:val="22"/>
        </w:rPr>
        <w:t>功能描述</w:t>
      </w:r>
    </w:p>
    <w:p>
      <w:pPr>
        <w:spacing w:before="120" w:after="120" w:line="288" w:lineRule="auto"/>
        <w:ind w:left="1360"/>
        <w:jc w:val="left"/>
      </w:pPr>
      <w:r>
        <w:rPr>
          <w:rFonts w:eastAsia="等线" w:ascii="Arial" w:cs="Arial" w:hAnsi="Arial"/>
          <w:color w:val="245bdb"/>
          <w:sz w:val="22"/>
        </w:rPr>
        <w:t>（1）</w:t>
      </w:r>
      <w:r>
        <w:rPr>
          <w:rFonts w:eastAsia="等线" w:ascii="Arial" w:cs="Arial" w:hAnsi="Arial"/>
          <w:color w:val="245bdb"/>
          <w:sz w:val="22"/>
        </w:rPr>
        <w:t>审核通过后，医生收到“待缴费”提醒。</w:t>
      </w:r>
    </w:p>
    <w:p>
      <w:pPr>
        <w:spacing w:before="120" w:after="120" w:line="288" w:lineRule="auto"/>
        <w:ind w:left="1360"/>
        <w:jc w:val="left"/>
      </w:pPr>
      <w:r>
        <w:rPr>
          <w:rFonts w:eastAsia="等线" w:ascii="Arial" w:cs="Arial" w:hAnsi="Arial"/>
          <w:color w:val="245bdb"/>
          <w:sz w:val="22"/>
        </w:rPr>
        <w:t>（2）</w:t>
      </w:r>
      <w:r>
        <w:rPr>
          <w:rFonts w:eastAsia="等线" w:ascii="Arial" w:cs="Arial" w:hAnsi="Arial"/>
          <w:color w:val="245bdb"/>
          <w:sz w:val="22"/>
        </w:rPr>
        <w:t>缴费完成后，中心医院相关人员收到“缴费已完成”提醒。</w:t>
      </w:r>
    </w:p>
    <w:p>
      <w:pPr>
        <w:numPr>
          <w:numId w:val="113"/>
        </w:numPr>
        <w:spacing w:before="120" w:after="120" w:line="288" w:lineRule="auto"/>
        <w:ind w:left="1360"/>
        <w:jc w:val="left"/>
      </w:pPr>
      <w:r>
        <w:rPr>
          <w:rFonts w:eastAsia="等线" w:ascii="Arial" w:cs="Arial" w:hAnsi="Arial"/>
          <w:b w:val="true"/>
          <w:sz w:val="22"/>
        </w:rPr>
        <w:t>需求说明</w:t>
      </w:r>
    </w:p>
    <w:p>
      <w:pPr>
        <w:spacing w:before="120" w:after="120" w:line="288" w:lineRule="auto"/>
        <w:ind w:left="1360"/>
        <w:jc w:val="left"/>
      </w:pPr>
      <w:r>
        <w:rPr>
          <w:rFonts w:eastAsia="等线" w:ascii="Arial" w:cs="Arial" w:hAnsi="Arial"/>
          <w:color w:val="245bdb"/>
          <w:sz w:val="22"/>
        </w:rPr>
        <w:t>通知类型：系统消息</w:t>
      </w:r>
    </w:p>
    <w:p>
      <w:pPr>
        <w:spacing w:before="120" w:after="120" w:line="288" w:lineRule="auto"/>
        <w:ind w:left="1360"/>
        <w:jc w:val="left"/>
      </w:pPr>
      <w:r>
        <w:rPr>
          <w:rFonts w:eastAsia="等线" w:ascii="Arial" w:cs="Arial" w:hAnsi="Arial"/>
          <w:color w:val="245bdb"/>
          <w:sz w:val="22"/>
        </w:rPr>
        <w:t>通知接收人：</w:t>
      </w:r>
    </w:p>
    <w:p>
      <w:pPr>
        <w:numPr>
          <w:numId w:val="114"/>
        </w:numPr>
        <w:spacing w:before="120" w:after="120" w:line="288" w:lineRule="auto"/>
        <w:ind w:left="1814"/>
        <w:jc w:val="left"/>
      </w:pPr>
      <w:r>
        <w:rPr>
          <w:rFonts w:eastAsia="等线" w:ascii="Arial" w:cs="Arial" w:hAnsi="Arial"/>
          <w:color w:val="245bdb"/>
          <w:sz w:val="22"/>
        </w:rPr>
        <w:t>待缴费：申请医生/患者家属</w:t>
      </w:r>
    </w:p>
    <w:p>
      <w:pPr>
        <w:numPr>
          <w:numId w:val="115"/>
        </w:numPr>
        <w:spacing w:before="120" w:after="120" w:line="288" w:lineRule="auto"/>
        <w:ind w:left="1814"/>
        <w:jc w:val="left"/>
      </w:pPr>
      <w:r>
        <w:rPr>
          <w:rFonts w:eastAsia="等线" w:ascii="Arial" w:cs="Arial" w:hAnsi="Arial"/>
          <w:color w:val="245bdb"/>
          <w:sz w:val="22"/>
        </w:rPr>
        <w:t>已缴费：中心医院人员</w:t>
      </w:r>
    </w:p>
    <w:p>
      <w:pPr>
        <w:spacing w:before="120" w:after="120" w:line="288" w:lineRule="auto"/>
        <w:ind w:left="1360"/>
        <w:jc w:val="left"/>
      </w:pPr>
      <w:r>
        <w:rPr>
          <w:rFonts w:eastAsia="等线" w:ascii="Arial" w:cs="Arial" w:hAnsi="Arial"/>
          <w:color w:val="245bdb"/>
          <w:sz w:val="22"/>
        </w:rPr>
        <w:t>通知内容包含缴费项目、金额、状态链接</w:t>
      </w:r>
    </w:p>
    <w:p>
      <w:pPr>
        <w:pStyle w:val="3"/>
        <w:spacing w:before="300" w:after="120" w:line="288" w:lineRule="auto"/>
        <w:ind w:left="907"/>
        <w:jc w:val="left"/>
        <w:outlineLvl w:val="2"/>
      </w:pPr>
      <w:bookmarkStart w:name="heading_35" w:id="35"/>
      <w:r>
        <w:rPr>
          <w:rFonts w:eastAsia="等线" w:ascii="Arial" w:cs="Arial" w:hAnsi="Arial"/>
          <w:color w:val="3370ff"/>
          <w:sz w:val="30"/>
        </w:rPr>
        <w:t xml:space="preserve">4.6.3 </w:t>
      </w:r>
      <w:r>
        <w:rPr>
          <w:rFonts w:eastAsia="等线" w:ascii="Arial" w:cs="Arial" w:hAnsi="Arial"/>
          <w:b w:val="true"/>
          <w:sz w:val="30"/>
        </w:rPr>
        <w:t>样本接收与质控</w:t>
      </w:r>
      <w:bookmarkEnd w:id="35"/>
    </w:p>
    <w:p>
      <w:pPr>
        <w:numPr>
          <w:numId w:val="116"/>
        </w:numPr>
        <w:spacing w:before="120" w:after="120" w:line="288" w:lineRule="auto"/>
        <w:ind w:left="1360"/>
        <w:jc w:val="left"/>
      </w:pPr>
      <w:r>
        <w:rPr>
          <w:rFonts w:eastAsia="等线" w:ascii="Arial" w:cs="Arial" w:hAnsi="Arial"/>
          <w:b w:val="true"/>
          <w:sz w:val="22"/>
        </w:rPr>
        <w:t>用户场景</w:t>
      </w:r>
    </w:p>
    <w:p>
      <w:pPr>
        <w:spacing w:before="120" w:after="120" w:line="288" w:lineRule="auto"/>
        <w:ind w:left="1360"/>
        <w:jc w:val="left"/>
      </w:pPr>
      <w:r>
        <w:rPr>
          <w:rFonts w:eastAsia="等线" w:ascii="Arial" w:cs="Arial" w:hAnsi="Arial"/>
          <w:color w:val="245bdb"/>
          <w:sz w:val="22"/>
        </w:rPr>
        <w:t>样本寄送至中心医院后由质控人员进行核查，如合格则进入检测流程，不合格则需通知基层医院进行补寄或退检。</w:t>
      </w:r>
    </w:p>
    <w:p>
      <w:pPr>
        <w:numPr>
          <w:numId w:val="117"/>
        </w:numPr>
        <w:spacing w:before="120" w:after="120" w:line="288" w:lineRule="auto"/>
        <w:ind w:left="1360"/>
        <w:jc w:val="left"/>
      </w:pPr>
      <w:r>
        <w:rPr>
          <w:rFonts w:eastAsia="等线" w:ascii="Arial" w:cs="Arial" w:hAnsi="Arial"/>
          <w:b w:val="true"/>
          <w:sz w:val="22"/>
        </w:rPr>
        <w:t>功能描述</w:t>
      </w:r>
    </w:p>
    <w:p>
      <w:pPr>
        <w:spacing w:before="120" w:after="120" w:line="288" w:lineRule="auto"/>
        <w:ind w:left="1360"/>
        <w:jc w:val="left"/>
      </w:pPr>
      <w:r>
        <w:rPr>
          <w:rFonts w:eastAsia="等线" w:ascii="Arial" w:cs="Arial" w:hAnsi="Arial"/>
          <w:color w:val="245bdb"/>
          <w:sz w:val="22"/>
        </w:rPr>
        <w:t>（1）</w:t>
      </w:r>
      <w:r>
        <w:rPr>
          <w:rFonts w:eastAsia="等线" w:ascii="Arial" w:cs="Arial" w:hAnsi="Arial"/>
          <w:color w:val="245bdb"/>
          <w:sz w:val="22"/>
        </w:rPr>
        <w:t>样本接收后，质控人员确认并记录质控结果。</w:t>
      </w:r>
    </w:p>
    <w:p>
      <w:pPr>
        <w:spacing w:before="120" w:after="120" w:line="288" w:lineRule="auto"/>
        <w:ind w:left="1360"/>
        <w:jc w:val="left"/>
      </w:pPr>
      <w:r>
        <w:rPr>
          <w:rFonts w:eastAsia="等线" w:ascii="Arial" w:cs="Arial" w:hAnsi="Arial"/>
          <w:color w:val="245bdb"/>
          <w:sz w:val="22"/>
        </w:rPr>
        <w:t>（2）</w:t>
      </w:r>
      <w:r>
        <w:rPr>
          <w:rFonts w:eastAsia="等线" w:ascii="Arial" w:cs="Arial" w:hAnsi="Arial"/>
          <w:color w:val="245bdb"/>
          <w:sz w:val="22"/>
        </w:rPr>
        <w:t>不合格时通知申请医生说明问题，提示重新寄送或退检。</w:t>
      </w:r>
    </w:p>
    <w:p>
      <w:pPr>
        <w:numPr>
          <w:numId w:val="118"/>
        </w:numPr>
        <w:spacing w:before="120" w:after="120" w:line="288" w:lineRule="auto"/>
        <w:ind w:left="1360"/>
        <w:jc w:val="left"/>
      </w:pPr>
      <w:r>
        <w:rPr>
          <w:rFonts w:eastAsia="等线" w:ascii="Arial" w:cs="Arial" w:hAnsi="Arial"/>
          <w:b w:val="true"/>
          <w:sz w:val="22"/>
        </w:rPr>
        <w:t>需求说明</w:t>
      </w:r>
    </w:p>
    <w:p>
      <w:pPr>
        <w:spacing w:before="120" w:after="120" w:line="288" w:lineRule="auto"/>
        <w:ind w:left="1360"/>
        <w:jc w:val="left"/>
      </w:pPr>
      <w:r>
        <w:rPr>
          <w:rFonts w:eastAsia="等线" w:ascii="Arial" w:cs="Arial" w:hAnsi="Arial"/>
          <w:color w:val="245bdb"/>
          <w:sz w:val="22"/>
        </w:rPr>
        <w:t>通知类型：系统消息 + 可选微信</w:t>
      </w:r>
    </w:p>
    <w:p>
      <w:pPr>
        <w:spacing w:before="120" w:after="120" w:line="288" w:lineRule="auto"/>
        <w:ind w:left="1360"/>
        <w:jc w:val="left"/>
      </w:pPr>
      <w:r>
        <w:rPr>
          <w:rFonts w:eastAsia="等线" w:ascii="Arial" w:cs="Arial" w:hAnsi="Arial"/>
          <w:color w:val="245bdb"/>
          <w:sz w:val="22"/>
        </w:rPr>
        <w:t>通知接收人：</w:t>
      </w:r>
    </w:p>
    <w:p>
      <w:pPr>
        <w:numPr>
          <w:numId w:val="119"/>
        </w:numPr>
        <w:spacing w:before="120" w:after="120" w:line="288" w:lineRule="auto"/>
        <w:ind w:left="1814"/>
        <w:jc w:val="left"/>
      </w:pPr>
      <w:r>
        <w:rPr>
          <w:rFonts w:eastAsia="等线" w:ascii="Arial" w:cs="Arial" w:hAnsi="Arial"/>
          <w:color w:val="245bdb"/>
          <w:sz w:val="22"/>
        </w:rPr>
        <w:t>样本到达：中心医院人员</w:t>
      </w:r>
    </w:p>
    <w:p>
      <w:pPr>
        <w:numPr>
          <w:numId w:val="120"/>
        </w:numPr>
        <w:spacing w:before="120" w:after="120" w:line="288" w:lineRule="auto"/>
        <w:ind w:left="1814"/>
        <w:jc w:val="left"/>
      </w:pPr>
      <w:r>
        <w:rPr>
          <w:rFonts w:eastAsia="等线" w:ascii="Arial" w:cs="Arial" w:hAnsi="Arial"/>
          <w:color w:val="245bdb"/>
          <w:sz w:val="22"/>
        </w:rPr>
        <w:t>样本不合格：申请医院</w:t>
      </w:r>
    </w:p>
    <w:p>
      <w:pPr>
        <w:spacing w:before="120" w:after="120" w:line="288" w:lineRule="auto"/>
        <w:ind w:left="1360"/>
        <w:jc w:val="left"/>
      </w:pPr>
      <w:r>
        <w:rPr>
          <w:rFonts w:eastAsia="等线" w:ascii="Arial" w:cs="Arial" w:hAnsi="Arial"/>
          <w:color w:val="245bdb"/>
          <w:sz w:val="22"/>
        </w:rPr>
        <w:t>通知内容：</w:t>
      </w:r>
    </w:p>
    <w:p>
      <w:pPr>
        <w:numPr>
          <w:numId w:val="121"/>
        </w:numPr>
        <w:spacing w:before="120" w:after="120" w:line="288" w:lineRule="auto"/>
        <w:ind w:left="1814"/>
        <w:jc w:val="left"/>
      </w:pPr>
      <w:r>
        <w:rPr>
          <w:rFonts w:eastAsia="等线" w:ascii="Arial" w:cs="Arial" w:hAnsi="Arial"/>
          <w:color w:val="245bdb"/>
          <w:sz w:val="22"/>
        </w:rPr>
        <w:t>项目名称、接收时间、质控状态</w:t>
      </w:r>
    </w:p>
    <w:p>
      <w:pPr>
        <w:numPr>
          <w:numId w:val="122"/>
        </w:numPr>
        <w:spacing w:before="120" w:after="120" w:line="288" w:lineRule="auto"/>
        <w:ind w:left="1814"/>
        <w:jc w:val="left"/>
      </w:pPr>
      <w:r>
        <w:rPr>
          <w:rFonts w:eastAsia="等线" w:ascii="Arial" w:cs="Arial" w:hAnsi="Arial"/>
          <w:color w:val="245bdb"/>
          <w:sz w:val="22"/>
        </w:rPr>
        <w:t>如不合格，附具体说明（例：蜡块是否完整、是否破损、是否白片、信息是否完整， 是否满足组织病理、分子病理要求）</w:t>
      </w:r>
    </w:p>
    <w:p>
      <w:pPr>
        <w:pStyle w:val="3"/>
        <w:spacing w:before="300" w:after="120" w:line="288" w:lineRule="auto"/>
        <w:ind w:left="907"/>
        <w:jc w:val="left"/>
        <w:outlineLvl w:val="2"/>
      </w:pPr>
      <w:bookmarkStart w:name="heading_36" w:id="36"/>
      <w:r>
        <w:rPr>
          <w:rFonts w:eastAsia="等线" w:ascii="Arial" w:cs="Arial" w:hAnsi="Arial"/>
          <w:color w:val="3370ff"/>
          <w:sz w:val="30"/>
        </w:rPr>
        <w:t xml:space="preserve">4.6.4 </w:t>
      </w:r>
      <w:r>
        <w:rPr>
          <w:rFonts w:eastAsia="等线" w:ascii="Arial" w:cs="Arial" w:hAnsi="Arial"/>
          <w:b w:val="true"/>
          <w:sz w:val="30"/>
        </w:rPr>
        <w:t>检测流程通知</w:t>
      </w:r>
      <w:bookmarkEnd w:id="36"/>
    </w:p>
    <w:p>
      <w:pPr>
        <w:numPr>
          <w:numId w:val="123"/>
        </w:numPr>
        <w:spacing w:before="120" w:after="120" w:line="288" w:lineRule="auto"/>
        <w:ind w:left="1360"/>
        <w:jc w:val="left"/>
      </w:pPr>
      <w:r>
        <w:rPr>
          <w:rFonts w:eastAsia="等线" w:ascii="Arial" w:cs="Arial" w:hAnsi="Arial"/>
          <w:b w:val="true"/>
          <w:sz w:val="22"/>
        </w:rPr>
        <w:t>用户场景</w:t>
      </w:r>
    </w:p>
    <w:p>
      <w:pPr>
        <w:spacing w:before="120" w:after="120" w:line="288" w:lineRule="auto"/>
        <w:ind w:left="1360"/>
        <w:jc w:val="left"/>
      </w:pPr>
      <w:r>
        <w:rPr>
          <w:rFonts w:eastAsia="等线" w:ascii="Arial" w:cs="Arial" w:hAnsi="Arial"/>
          <w:color w:val="245bdb"/>
          <w:sz w:val="22"/>
        </w:rPr>
        <w:t>检测人员在检测中发现问题或需补充检测，可发起加检申请并通知申请医生。</w:t>
      </w:r>
    </w:p>
    <w:p>
      <w:pPr>
        <w:numPr>
          <w:numId w:val="124"/>
        </w:numPr>
        <w:spacing w:before="120" w:after="120" w:line="288" w:lineRule="auto"/>
        <w:ind w:left="1360"/>
        <w:jc w:val="left"/>
      </w:pPr>
      <w:r>
        <w:rPr>
          <w:rFonts w:eastAsia="等线" w:ascii="Arial" w:cs="Arial" w:hAnsi="Arial"/>
          <w:b w:val="true"/>
          <w:sz w:val="22"/>
        </w:rPr>
        <w:t>功能描述</w:t>
      </w:r>
    </w:p>
    <w:p>
      <w:pPr>
        <w:spacing w:before="120" w:after="120" w:line="288" w:lineRule="auto"/>
        <w:ind w:left="1360"/>
        <w:jc w:val="left"/>
      </w:pPr>
      <w:r>
        <w:rPr>
          <w:rFonts w:eastAsia="等线" w:ascii="Arial" w:cs="Arial" w:hAnsi="Arial"/>
          <w:color w:val="245bdb"/>
          <w:sz w:val="22"/>
        </w:rPr>
        <w:t>加检申请时通知申请医生进行确认与缴费。检测完成后通知申请医生查看初步报告或结果。</w:t>
      </w:r>
    </w:p>
    <w:p>
      <w:pPr>
        <w:numPr>
          <w:numId w:val="125"/>
        </w:numPr>
        <w:spacing w:before="120" w:after="120" w:line="288" w:lineRule="auto"/>
        <w:ind w:left="1360"/>
        <w:jc w:val="left"/>
      </w:pPr>
      <w:r>
        <w:rPr>
          <w:rFonts w:eastAsia="等线" w:ascii="Arial" w:cs="Arial" w:hAnsi="Arial"/>
          <w:b w:val="true"/>
          <w:sz w:val="22"/>
        </w:rPr>
        <w:t>需求说明</w:t>
      </w:r>
    </w:p>
    <w:p>
      <w:pPr>
        <w:spacing w:before="120" w:after="120" w:line="288" w:lineRule="auto"/>
        <w:ind w:left="1360"/>
        <w:jc w:val="left"/>
      </w:pPr>
      <w:r>
        <w:rPr>
          <w:rFonts w:eastAsia="等线" w:ascii="Arial" w:cs="Arial" w:hAnsi="Arial"/>
          <w:color w:val="245bdb"/>
          <w:sz w:val="22"/>
        </w:rPr>
        <w:t>通知类型：系统消息</w:t>
      </w:r>
    </w:p>
    <w:p>
      <w:pPr>
        <w:spacing w:before="120" w:after="120" w:line="288" w:lineRule="auto"/>
        <w:ind w:left="1360"/>
        <w:jc w:val="left"/>
      </w:pPr>
      <w:r>
        <w:rPr>
          <w:rFonts w:eastAsia="等线" w:ascii="Arial" w:cs="Arial" w:hAnsi="Arial"/>
          <w:color w:val="245bdb"/>
          <w:sz w:val="22"/>
        </w:rPr>
        <w:t>通知接收人：</w:t>
      </w:r>
    </w:p>
    <w:p>
      <w:pPr>
        <w:numPr>
          <w:numId w:val="126"/>
        </w:numPr>
        <w:spacing w:before="120" w:after="120" w:line="288" w:lineRule="auto"/>
        <w:ind w:left="1814"/>
        <w:jc w:val="left"/>
      </w:pPr>
      <w:r>
        <w:rPr>
          <w:rFonts w:eastAsia="等线" w:ascii="Arial" w:cs="Arial" w:hAnsi="Arial"/>
          <w:color w:val="245bdb"/>
          <w:sz w:val="22"/>
        </w:rPr>
        <w:t>加检发起：申请医生</w:t>
      </w:r>
    </w:p>
    <w:p>
      <w:pPr>
        <w:numPr>
          <w:numId w:val="127"/>
        </w:numPr>
        <w:spacing w:before="120" w:after="120" w:line="288" w:lineRule="auto"/>
        <w:ind w:left="1814"/>
        <w:jc w:val="left"/>
      </w:pPr>
      <w:r>
        <w:rPr>
          <w:rFonts w:eastAsia="等线" w:ascii="Arial" w:cs="Arial" w:hAnsi="Arial"/>
          <w:color w:val="245bdb"/>
          <w:sz w:val="22"/>
        </w:rPr>
        <w:t>检测完成：申请医生</w:t>
      </w:r>
    </w:p>
    <w:p>
      <w:pPr>
        <w:spacing w:before="120" w:after="120" w:line="288" w:lineRule="auto"/>
        <w:ind w:left="1360"/>
        <w:jc w:val="left"/>
      </w:pPr>
      <w:r>
        <w:rPr>
          <w:rFonts w:eastAsia="等线" w:ascii="Arial" w:cs="Arial" w:hAnsi="Arial"/>
          <w:color w:val="245bdb"/>
          <w:sz w:val="22"/>
        </w:rPr>
        <w:t>内容示例：</w:t>
      </w:r>
    </w:p>
    <w:p>
      <w:pPr>
        <w:numPr>
          <w:numId w:val="128"/>
        </w:numPr>
        <w:spacing w:before="120" w:after="120" w:line="288" w:lineRule="auto"/>
        <w:ind w:left="1814"/>
        <w:jc w:val="left"/>
      </w:pPr>
      <w:r>
        <w:rPr>
          <w:rFonts w:eastAsia="等线" w:ascii="Arial" w:cs="Arial" w:hAnsi="Arial"/>
          <w:color w:val="245bdb"/>
          <w:sz w:val="22"/>
        </w:rPr>
        <w:t>加检项目名称、原因说明、待确认状态</w:t>
      </w:r>
    </w:p>
    <w:p>
      <w:pPr>
        <w:numPr>
          <w:numId w:val="129"/>
        </w:numPr>
        <w:spacing w:before="120" w:after="120" w:line="288" w:lineRule="auto"/>
        <w:ind w:left="1814"/>
        <w:jc w:val="left"/>
      </w:pPr>
      <w:r>
        <w:rPr>
          <w:rFonts w:eastAsia="等线" w:ascii="Arial" w:cs="Arial" w:hAnsi="Arial"/>
          <w:color w:val="245bdb"/>
          <w:sz w:val="22"/>
        </w:rPr>
        <w:t>检测完成通知</w:t>
      </w:r>
    </w:p>
    <w:p>
      <w:pPr>
        <w:spacing w:before="120" w:after="120" w:line="288" w:lineRule="auto"/>
        <w:ind w:left="907" w:firstLine="420"/>
        <w:jc w:val="left"/>
      </w:pPr>
    </w:p>
    <w:p>
      <w:pPr>
        <w:pStyle w:val="3"/>
        <w:spacing w:before="300" w:after="120" w:line="288" w:lineRule="auto"/>
        <w:ind w:left="907"/>
        <w:jc w:val="left"/>
        <w:outlineLvl w:val="2"/>
      </w:pPr>
      <w:bookmarkStart w:name="heading_37" w:id="37"/>
      <w:r>
        <w:rPr>
          <w:rFonts w:eastAsia="等线" w:ascii="Arial" w:cs="Arial" w:hAnsi="Arial"/>
          <w:color w:val="3370ff"/>
          <w:sz w:val="30"/>
        </w:rPr>
        <w:t xml:space="preserve">4.6.5 </w:t>
      </w:r>
      <w:r>
        <w:rPr>
          <w:rFonts w:eastAsia="等线" w:ascii="Arial" w:cs="Arial" w:hAnsi="Arial"/>
          <w:b w:val="true"/>
          <w:sz w:val="30"/>
        </w:rPr>
        <w:t>报告上传与查看</w:t>
      </w:r>
      <w:bookmarkEnd w:id="37"/>
    </w:p>
    <w:p>
      <w:pPr>
        <w:numPr>
          <w:numId w:val="130"/>
        </w:numPr>
        <w:spacing w:before="120" w:after="120" w:line="288" w:lineRule="auto"/>
        <w:ind w:left="1360"/>
        <w:jc w:val="left"/>
      </w:pPr>
      <w:r>
        <w:rPr>
          <w:rFonts w:eastAsia="等线" w:ascii="Arial" w:cs="Arial" w:hAnsi="Arial"/>
          <w:b w:val="true"/>
          <w:sz w:val="22"/>
        </w:rPr>
        <w:t>用户场景</w:t>
      </w:r>
    </w:p>
    <w:p>
      <w:pPr>
        <w:spacing w:before="120" w:after="120" w:line="288" w:lineRule="auto"/>
        <w:ind w:left="1360"/>
        <w:jc w:val="left"/>
      </w:pPr>
      <w:r>
        <w:rPr>
          <w:rFonts w:eastAsia="等线" w:ascii="Arial" w:cs="Arial" w:hAnsi="Arial"/>
          <w:color w:val="245bdb"/>
          <w:sz w:val="22"/>
        </w:rPr>
        <w:t>检测完成后，中心医院医生上传正式报告，基层医生需要下载报告。</w:t>
      </w:r>
    </w:p>
    <w:p>
      <w:pPr>
        <w:numPr>
          <w:numId w:val="131"/>
        </w:numPr>
        <w:spacing w:before="120" w:after="120" w:line="288" w:lineRule="auto"/>
        <w:ind w:left="1360"/>
        <w:jc w:val="left"/>
      </w:pPr>
      <w:r>
        <w:rPr>
          <w:rFonts w:eastAsia="等线" w:ascii="Arial" w:cs="Arial" w:hAnsi="Arial"/>
          <w:b w:val="true"/>
          <w:sz w:val="22"/>
        </w:rPr>
        <w:t>功能描述</w:t>
      </w:r>
    </w:p>
    <w:p>
      <w:pPr>
        <w:spacing w:before="120" w:after="120" w:line="288" w:lineRule="auto"/>
        <w:ind w:left="1360"/>
        <w:jc w:val="left"/>
      </w:pPr>
      <w:r>
        <w:rPr>
          <w:rFonts w:eastAsia="等线" w:ascii="Arial" w:cs="Arial" w:hAnsi="Arial"/>
          <w:color w:val="245bdb"/>
          <w:sz w:val="22"/>
        </w:rPr>
        <w:t>报告上传后通知申请医生查看/下载。若报告更新（如二次修订）也需通知申请医生。</w:t>
      </w:r>
    </w:p>
    <w:p>
      <w:pPr>
        <w:numPr>
          <w:numId w:val="132"/>
        </w:numPr>
        <w:spacing w:before="120" w:after="120" w:line="288" w:lineRule="auto"/>
        <w:ind w:left="1360"/>
        <w:jc w:val="left"/>
      </w:pPr>
      <w:r>
        <w:rPr>
          <w:rFonts w:eastAsia="等线" w:ascii="Arial" w:cs="Arial" w:hAnsi="Arial"/>
          <w:b w:val="true"/>
          <w:sz w:val="22"/>
        </w:rPr>
        <w:t>需求说明</w:t>
      </w:r>
    </w:p>
    <w:p>
      <w:pPr>
        <w:spacing w:before="120" w:after="120" w:line="288" w:lineRule="auto"/>
        <w:ind w:left="1360"/>
        <w:jc w:val="left"/>
      </w:pPr>
      <w:r>
        <w:rPr>
          <w:rFonts w:eastAsia="等线" w:ascii="Arial" w:cs="Arial" w:hAnsi="Arial"/>
          <w:color w:val="245bdb"/>
          <w:sz w:val="22"/>
        </w:rPr>
        <w:t>通知类型：系统消息</w:t>
      </w:r>
    </w:p>
    <w:p>
      <w:pPr>
        <w:spacing w:before="120" w:after="120" w:line="288" w:lineRule="auto"/>
        <w:ind w:left="1360"/>
        <w:jc w:val="left"/>
      </w:pPr>
      <w:r>
        <w:rPr>
          <w:rFonts w:eastAsia="等线" w:ascii="Arial" w:cs="Arial" w:hAnsi="Arial"/>
          <w:color w:val="245bdb"/>
          <w:sz w:val="22"/>
        </w:rPr>
        <w:t>通知接收人：申请医生（基层医院）</w:t>
      </w:r>
    </w:p>
    <w:p>
      <w:pPr>
        <w:spacing w:before="120" w:after="120" w:line="288" w:lineRule="auto"/>
        <w:ind w:left="1360"/>
        <w:jc w:val="left"/>
      </w:pPr>
      <w:r>
        <w:rPr>
          <w:rFonts w:eastAsia="等线" w:ascii="Arial" w:cs="Arial" w:hAnsi="Arial"/>
          <w:color w:val="245bdb"/>
          <w:sz w:val="22"/>
        </w:rPr>
        <w:t>通知内容包含患者姓名、项目名称、报告已上传（已更新）、更新时间点</w:t>
      </w:r>
    </w:p>
    <w:p>
      <w:pPr>
        <w:pStyle w:val="2"/>
        <w:spacing w:before="320" w:after="120" w:line="288" w:lineRule="auto"/>
        <w:ind w:left="453"/>
        <w:jc w:val="left"/>
        <w:outlineLvl w:val="1"/>
      </w:pPr>
      <w:bookmarkStart w:name="heading_38" w:id="38"/>
      <w:r>
        <w:rPr>
          <w:rFonts w:eastAsia="等线" w:ascii="Arial" w:cs="Arial" w:hAnsi="Arial"/>
          <w:color w:val="3370ff"/>
          <w:sz w:val="32"/>
        </w:rPr>
        <w:t xml:space="preserve">4.7 </w:t>
      </w:r>
      <w:r>
        <w:rPr>
          <w:rFonts w:eastAsia="等线" w:ascii="Arial" w:cs="Arial" w:hAnsi="Arial"/>
          <w:b w:val="true"/>
          <w:sz w:val="32"/>
        </w:rPr>
        <w:t>系统管理</w:t>
      </w:r>
      <w:bookmarkEnd w:id="38"/>
    </w:p>
    <w:p>
      <w:pPr>
        <w:pStyle w:val="3"/>
        <w:spacing w:before="300" w:after="120" w:line="288" w:lineRule="auto"/>
        <w:ind w:left="907"/>
        <w:jc w:val="left"/>
        <w:outlineLvl w:val="2"/>
      </w:pPr>
      <w:bookmarkStart w:name="heading_39" w:id="39"/>
      <w:r>
        <w:rPr>
          <w:rFonts w:eastAsia="等线" w:ascii="Arial" w:cs="Arial" w:hAnsi="Arial"/>
          <w:color w:val="3370ff"/>
          <w:sz w:val="30"/>
        </w:rPr>
        <w:t xml:space="preserve">4.7.1 </w:t>
      </w:r>
      <w:r>
        <w:rPr>
          <w:rFonts w:eastAsia="等线" w:ascii="Arial" w:cs="Arial" w:hAnsi="Arial"/>
          <w:b w:val="true"/>
          <w:sz w:val="30"/>
        </w:rPr>
        <w:t>检测项目配置</w:t>
      </w:r>
      <w:bookmarkEnd w:id="39"/>
    </w:p>
    <w:p>
      <w:pPr>
        <w:numPr>
          <w:numId w:val="133"/>
        </w:numPr>
        <w:spacing w:before="120" w:after="120" w:line="288" w:lineRule="auto"/>
        <w:ind w:left="1360"/>
        <w:jc w:val="left"/>
      </w:pPr>
      <w:r>
        <w:rPr>
          <w:rFonts w:eastAsia="等线" w:ascii="Arial" w:cs="Arial" w:hAnsi="Arial"/>
          <w:b w:val="true"/>
          <w:sz w:val="22"/>
        </w:rPr>
        <w:t>用户场景</w:t>
      </w:r>
    </w:p>
    <w:p>
      <w:pPr>
        <w:spacing w:before="120" w:after="120" w:line="288" w:lineRule="auto"/>
        <w:ind w:left="1360"/>
        <w:jc w:val="left"/>
      </w:pPr>
      <w:r>
        <w:rPr>
          <w:rFonts w:eastAsia="等线" w:ascii="Arial" w:cs="Arial" w:hAnsi="Arial"/>
          <w:color w:val="245bdb"/>
          <w:sz w:val="22"/>
        </w:rPr>
        <w:t>申请单中有些项目会随着时间的更替而发生变化，所以需要按照未来的变化对申请单中的各个项目进行管理。</w:t>
      </w:r>
    </w:p>
    <w:p>
      <w:pPr>
        <w:numPr>
          <w:numId w:val="134"/>
        </w:numPr>
        <w:spacing w:before="120" w:after="120" w:line="288" w:lineRule="auto"/>
        <w:ind w:left="1360"/>
        <w:jc w:val="left"/>
      </w:pPr>
      <w:r>
        <w:rPr>
          <w:rFonts w:eastAsia="等线" w:ascii="Arial" w:cs="Arial" w:hAnsi="Arial"/>
          <w:b w:val="true"/>
          <w:sz w:val="22"/>
        </w:rPr>
        <w:t>功能描述</w:t>
      </w:r>
    </w:p>
    <w:p>
      <w:pPr>
        <w:spacing w:before="120" w:after="120" w:line="288" w:lineRule="auto"/>
        <w:ind w:left="1360"/>
        <w:jc w:val="left"/>
      </w:pPr>
      <w:r>
        <w:rPr>
          <w:rFonts w:eastAsia="等线" w:ascii="Arial" w:cs="Arial" w:hAnsi="Arial"/>
          <w:color w:val="245bdb"/>
          <w:sz w:val="22"/>
        </w:rPr>
        <w:t>对于未来项目的变动，对申请单中的项目进行增加、移除、修改等操作。</w:t>
      </w:r>
    </w:p>
    <w:p>
      <w:pPr>
        <w:numPr>
          <w:numId w:val="135"/>
        </w:numPr>
        <w:spacing w:before="120" w:after="120" w:line="288" w:lineRule="auto"/>
        <w:ind w:left="1360"/>
        <w:jc w:val="left"/>
      </w:pPr>
      <w:r>
        <w:rPr>
          <w:rFonts w:eastAsia="等线" w:ascii="Arial" w:cs="Arial" w:hAnsi="Arial"/>
          <w:b w:val="true"/>
          <w:sz w:val="22"/>
        </w:rPr>
        <w:t>需求说明</w:t>
      </w:r>
    </w:p>
    <w:p>
      <w:pPr>
        <w:spacing w:before="120" w:after="120" w:line="288" w:lineRule="auto"/>
        <w:ind w:left="1360"/>
        <w:jc w:val="left"/>
      </w:pPr>
      <w:r>
        <w:rPr>
          <w:rFonts w:eastAsia="等线" w:ascii="Arial" w:cs="Arial" w:hAnsi="Arial"/>
          <w:color w:val="245bdb"/>
          <w:sz w:val="22"/>
        </w:rPr>
        <w:t>检测项目分为两个大类：</w:t>
      </w:r>
      <w:r>
        <w:rPr>
          <w:rFonts w:eastAsia="等线" w:ascii="Arial" w:cs="Arial" w:hAnsi="Arial"/>
          <w:b w:val="true"/>
          <w:color w:val="245bdb"/>
          <w:sz w:val="22"/>
        </w:rPr>
        <w:t>免疫组化平台(YLZ)、基因检测项目(YLF)</w:t>
      </w:r>
    </w:p>
    <w:p>
      <w:pPr>
        <w:spacing w:before="120" w:after="120" w:line="288" w:lineRule="auto"/>
        <w:ind w:left="1360"/>
        <w:jc w:val="left"/>
      </w:pPr>
      <w:r>
        <w:rPr>
          <w:rFonts w:eastAsia="等线" w:ascii="Arial" w:cs="Arial" w:hAnsi="Arial"/>
          <w:color w:val="245bdb"/>
          <w:sz w:val="22"/>
        </w:rPr>
        <w:t>按照申请单的逻辑，分为两个大类来显示，卡片式的显示在页面中，两个大类就是两个大的分区。</w:t>
      </w:r>
    </w:p>
    <w:p>
      <w:pPr>
        <w:spacing w:before="120" w:after="120" w:line="288" w:lineRule="auto"/>
        <w:ind w:left="1360"/>
        <w:jc w:val="left"/>
      </w:pPr>
      <w:r>
        <w:rPr>
          <w:rFonts w:eastAsia="等线" w:ascii="Arial" w:cs="Arial" w:hAnsi="Arial"/>
          <w:color w:val="245bdb"/>
          <w:sz w:val="22"/>
        </w:rPr>
        <w:t>每个项目都有一个项目编码，分别为 YLH、YLZ、YLF，分别代表会诊、免疫组化、基因检测，基因检测还有一个分区 section，按照肿瘤分类。项目字段包括项目名称、项目描述、项目编码、肿瘤分类（基因检测项目会有），项目可选数组（多个项目节点）。</w:t>
      </w:r>
    </w:p>
    <w:p>
      <w:pPr>
        <w:pStyle w:val="4"/>
        <w:spacing w:before="260" w:after="120" w:line="288" w:lineRule="auto"/>
        <w:ind w:left="1814"/>
        <w:jc w:val="left"/>
        <w:outlineLvl w:val="3"/>
      </w:pPr>
      <w:bookmarkStart w:name="heading_40" w:id="40"/>
      <w:r>
        <w:rPr>
          <w:rFonts w:eastAsia="等线" w:ascii="Arial" w:cs="Arial" w:hAnsi="Arial"/>
          <w:color w:val="3370ff"/>
          <w:sz w:val="28"/>
        </w:rPr>
        <w:t xml:space="preserve">4.7.1.1 </w:t>
      </w:r>
      <w:r>
        <w:rPr>
          <w:rFonts w:eastAsia="等线" w:ascii="Arial" w:cs="Arial" w:hAnsi="Arial"/>
          <w:b w:val="true"/>
          <w:sz w:val="28"/>
        </w:rPr>
        <w:t>免疫组化平台</w:t>
      </w:r>
      <w:bookmarkEnd w:id="40"/>
    </w:p>
    <w:p>
      <w:pPr>
        <w:spacing w:before="120" w:after="120" w:line="288" w:lineRule="auto"/>
        <w:ind w:left="1814"/>
        <w:jc w:val="left"/>
      </w:pPr>
      <w:r>
        <w:rPr>
          <w:rFonts w:eastAsia="等线" w:ascii="Arial" w:cs="Arial" w:hAnsi="Arial"/>
          <w:sz w:val="22"/>
        </w:rPr>
        <w:t>疑难病例会诊（复选框）</w:t>
      </w:r>
    </w:p>
    <w:p>
      <w:pPr>
        <w:spacing w:before="120" w:after="120" w:line="288" w:lineRule="auto"/>
        <w:ind w:left="1814"/>
        <w:jc w:val="left"/>
      </w:pPr>
      <w:r>
        <w:rPr>
          <w:rFonts w:eastAsia="等线" w:ascii="Arial" w:cs="Arial" w:hAnsi="Arial"/>
          <w:sz w:val="22"/>
        </w:rPr>
        <w:t>免疫组化收费（复选框）</w:t>
      </w:r>
    </w:p>
    <w:p>
      <w:pPr>
        <w:spacing w:before="120" w:after="120" w:line="288" w:lineRule="auto"/>
        <w:ind w:left="1814"/>
        <w:jc w:val="left"/>
      </w:pPr>
      <w:r>
        <w:rPr>
          <w:rFonts w:eastAsia="等线" w:ascii="Arial" w:cs="Arial" w:hAnsi="Arial"/>
          <w:b w:val="true"/>
          <w:sz w:val="22"/>
        </w:rPr>
        <w:t>药物伴随诊断检测（子复选框组，带条件显示）：</w:t>
      </w:r>
    </w:p>
    <w:p>
      <w:pPr>
        <w:spacing w:before="120" w:after="120" w:line="288" w:lineRule="auto"/>
        <w:ind w:left="2268"/>
        <w:jc w:val="left"/>
      </w:pPr>
      <w:r>
        <w:rPr>
          <w:rFonts w:eastAsia="等线" w:ascii="Arial" w:cs="Arial" w:hAnsi="Arial"/>
          <w:sz w:val="22"/>
        </w:rPr>
        <w:t>PDL1(28-8) - 仅头颈鳞癌显示</w:t>
      </w:r>
    </w:p>
    <w:p>
      <w:pPr>
        <w:spacing w:before="120" w:after="120" w:line="288" w:lineRule="auto"/>
        <w:ind w:left="2268"/>
        <w:jc w:val="left"/>
      </w:pPr>
      <w:r>
        <w:rPr>
          <w:rFonts w:eastAsia="等线" w:ascii="Arial" w:cs="Arial" w:hAnsi="Arial"/>
          <w:sz w:val="22"/>
        </w:rPr>
        <w:t>PDL1(22C3) - 肺非小细胞癌/头颈鳞癌/食管鳞癌显示</w:t>
      </w:r>
    </w:p>
    <w:p>
      <w:pPr>
        <w:spacing w:before="120" w:after="120" w:line="288" w:lineRule="auto"/>
        <w:ind w:left="2268"/>
        <w:jc w:val="left"/>
      </w:pPr>
      <w:r>
        <w:rPr>
          <w:rFonts w:eastAsia="等线" w:ascii="Arial" w:cs="Arial" w:hAnsi="Arial"/>
          <w:sz w:val="22"/>
        </w:rPr>
        <w:t>PDL1(SP263) - 仅尿路上皮癌显示</w:t>
      </w:r>
    </w:p>
    <w:p>
      <w:pPr>
        <w:spacing w:before="120" w:after="120" w:line="288" w:lineRule="auto"/>
        <w:ind w:left="2268"/>
        <w:jc w:val="left"/>
      </w:pPr>
      <w:r>
        <w:rPr>
          <w:rFonts w:eastAsia="等线" w:ascii="Arial" w:cs="Arial" w:hAnsi="Arial"/>
          <w:sz w:val="22"/>
        </w:rPr>
        <w:t>HER2 - 乳腺和胃显示</w:t>
      </w:r>
    </w:p>
    <w:p>
      <w:pPr>
        <w:spacing w:before="120" w:after="120" w:line="288" w:lineRule="auto"/>
        <w:ind w:left="2268"/>
        <w:jc w:val="left"/>
      </w:pPr>
      <w:r>
        <w:rPr>
          <w:rFonts w:eastAsia="等线" w:ascii="Arial" w:cs="Arial" w:hAnsi="Arial"/>
          <w:sz w:val="22"/>
        </w:rPr>
        <w:t>ALK(D5F3) - 肺显示</w:t>
      </w:r>
    </w:p>
    <w:p>
      <w:pPr>
        <w:spacing w:before="120" w:after="120" w:line="288" w:lineRule="auto"/>
        <w:ind w:left="1814"/>
        <w:jc w:val="left"/>
      </w:pPr>
      <w:r>
        <w:rPr>
          <w:rFonts w:eastAsia="等线" w:ascii="Arial" w:cs="Arial" w:hAnsi="Arial"/>
          <w:sz w:val="22"/>
        </w:rPr>
        <w:t>MMR免疫组化检测4项（复选框）</w:t>
      </w:r>
    </w:p>
    <w:p>
      <w:pPr>
        <w:pStyle w:val="4"/>
        <w:spacing w:before="260" w:after="120" w:line="288" w:lineRule="auto"/>
        <w:ind w:left="1814"/>
        <w:jc w:val="left"/>
        <w:outlineLvl w:val="3"/>
      </w:pPr>
      <w:bookmarkStart w:name="heading_41" w:id="41"/>
      <w:r>
        <w:rPr>
          <w:rFonts w:eastAsia="等线" w:ascii="Arial" w:cs="Arial" w:hAnsi="Arial"/>
          <w:color w:val="3370ff"/>
          <w:sz w:val="28"/>
        </w:rPr>
        <w:t xml:space="preserve">4.7.1.2 </w:t>
      </w:r>
      <w:r>
        <w:rPr>
          <w:rFonts w:eastAsia="等线" w:ascii="Arial" w:cs="Arial" w:hAnsi="Arial"/>
          <w:b w:val="true"/>
          <w:sz w:val="28"/>
        </w:rPr>
        <w:t>基因检测项目-按肿瘤类型分类</w:t>
      </w:r>
      <w:bookmarkEnd w:id="41"/>
    </w:p>
    <w:p>
      <w:pPr>
        <w:spacing w:before="120" w:after="120" w:line="288" w:lineRule="auto"/>
        <w:ind w:left="1814" w:firstLine="0"/>
        <w:jc w:val="left"/>
      </w:pPr>
      <w:r>
        <w:rPr>
          <w:rFonts w:eastAsia="等线" w:ascii="Arial" w:cs="Arial" w:hAnsi="Arial"/>
          <w:b w:val="true"/>
          <w:sz w:val="22"/>
        </w:rPr>
        <w:t>肺部肿瘤相关项目</w:t>
      </w:r>
    </w:p>
    <w:p>
      <w:pPr>
        <w:spacing w:before="120" w:after="120" w:line="288" w:lineRule="auto"/>
        <w:ind w:left="2268" w:firstLine="0"/>
        <w:jc w:val="left"/>
      </w:pPr>
      <w:r>
        <w:rPr>
          <w:rFonts w:eastAsia="等线" w:ascii="Arial" w:cs="Arial" w:hAnsi="Arial"/>
          <w:sz w:val="22"/>
        </w:rPr>
        <w:t>1. □【二代测序】组织肺/结直肠癌10基因</w:t>
      </w:r>
    </w:p>
    <w:p>
      <w:pPr>
        <w:spacing w:before="120" w:after="120" w:line="288" w:lineRule="auto"/>
        <w:ind w:left="2268" w:firstLine="0"/>
        <w:jc w:val="left"/>
      </w:pPr>
      <w:r>
        <w:rPr>
          <w:rFonts w:eastAsia="等线" w:ascii="Arial" w:cs="Arial" w:hAnsi="Arial"/>
          <w:sz w:val="22"/>
        </w:rPr>
        <w:t>2. □【二代测序】组织肺13基因</w:t>
      </w:r>
    </w:p>
    <w:p>
      <w:pPr>
        <w:spacing w:before="120" w:after="120" w:line="288" w:lineRule="auto"/>
        <w:ind w:left="2268" w:firstLine="0"/>
        <w:jc w:val="left"/>
      </w:pPr>
      <w:r>
        <w:rPr>
          <w:rFonts w:eastAsia="等线" w:ascii="Arial" w:cs="Arial" w:hAnsi="Arial"/>
          <w:sz w:val="22"/>
        </w:rPr>
        <w:t>3. □【二代测序】组织肺6基因</w:t>
      </w:r>
    </w:p>
    <w:p>
      <w:pPr>
        <w:spacing w:before="120" w:after="120" w:line="288" w:lineRule="auto"/>
        <w:ind w:left="2268" w:firstLine="0"/>
        <w:jc w:val="left"/>
      </w:pPr>
      <w:r>
        <w:rPr>
          <w:rFonts w:eastAsia="等线" w:ascii="Arial" w:cs="Arial" w:hAnsi="Arial"/>
          <w:sz w:val="22"/>
        </w:rPr>
        <w:t>4. □【二代测序】组织大Panel基因检测</w:t>
      </w:r>
    </w:p>
    <w:p>
      <w:pPr>
        <w:spacing w:before="120" w:after="120" w:line="288" w:lineRule="auto"/>
        <w:ind w:left="2268" w:firstLine="0"/>
        <w:jc w:val="left"/>
      </w:pPr>
      <w:r>
        <w:rPr>
          <w:rFonts w:eastAsia="等线" w:ascii="Arial" w:cs="Arial" w:hAnsi="Arial"/>
          <w:sz w:val="22"/>
        </w:rPr>
        <w:t>□【二代测序】肺癌游离DNA基因检测</w:t>
      </w:r>
    </w:p>
    <w:p>
      <w:pPr>
        <w:spacing w:before="120" w:after="120" w:line="288" w:lineRule="auto"/>
        <w:ind w:left="2268" w:firstLine="0"/>
        <w:jc w:val="left"/>
      </w:pPr>
      <w:r>
        <w:rPr>
          <w:rFonts w:eastAsia="等线" w:ascii="Arial" w:cs="Arial" w:hAnsi="Arial"/>
          <w:sz w:val="22"/>
        </w:rPr>
        <w:t>□【PCR】EGFR基因</w:t>
      </w:r>
    </w:p>
    <w:p>
      <w:pPr>
        <w:spacing w:before="120" w:after="120" w:line="288" w:lineRule="auto"/>
        <w:ind w:left="2268" w:firstLine="0"/>
        <w:jc w:val="left"/>
      </w:pPr>
      <w:r>
        <w:rPr>
          <w:rFonts w:eastAsia="等线" w:ascii="Arial" w:cs="Arial" w:hAnsi="Arial"/>
          <w:sz w:val="22"/>
        </w:rPr>
        <w:t>□【PCR】肺5基因（EGFR/ALK/ROS1/KRAS等）</w:t>
      </w:r>
    </w:p>
    <w:p>
      <w:pPr>
        <w:spacing w:before="120" w:after="120" w:line="288" w:lineRule="auto"/>
        <w:ind w:left="2268" w:firstLine="0"/>
        <w:jc w:val="left"/>
      </w:pPr>
      <w:r>
        <w:rPr>
          <w:rFonts w:eastAsia="等线" w:ascii="Arial" w:cs="Arial" w:hAnsi="Arial"/>
          <w:sz w:val="22"/>
        </w:rPr>
        <w:t>□【FISH】MET基因扩增</w:t>
      </w:r>
    </w:p>
    <w:p>
      <w:pPr>
        <w:spacing w:before="120" w:after="120" w:line="288" w:lineRule="auto"/>
        <w:ind w:left="2268" w:firstLine="0"/>
        <w:jc w:val="left"/>
      </w:pPr>
      <w:r>
        <w:rPr>
          <w:rFonts w:eastAsia="等线" w:ascii="Arial" w:cs="Arial" w:hAnsi="Arial"/>
          <w:sz w:val="22"/>
        </w:rPr>
        <w:t>□【FISH】HER2基因扩增</w:t>
      </w:r>
    </w:p>
    <w:p>
      <w:pPr>
        <w:spacing w:before="120" w:after="120" w:line="288" w:lineRule="auto"/>
        <w:ind w:left="1814"/>
        <w:jc w:val="left"/>
      </w:pPr>
      <w:r>
        <w:rPr>
          <w:rFonts w:eastAsia="等线" w:ascii="Arial" w:cs="Arial" w:hAnsi="Arial"/>
          <w:b w:val="true"/>
          <w:sz w:val="22"/>
        </w:rPr>
        <w:t>消化道肿瘤相关项目</w:t>
      </w:r>
    </w:p>
    <w:p>
      <w:pPr>
        <w:spacing w:before="120" w:after="120" w:line="288" w:lineRule="auto"/>
        <w:ind w:left="2268" w:firstLine="0"/>
        <w:jc w:val="left"/>
      </w:pPr>
      <w:r>
        <w:rPr>
          <w:rFonts w:eastAsia="等线" w:ascii="Arial" w:cs="Arial" w:hAnsi="Arial"/>
          <w:sz w:val="22"/>
        </w:rPr>
        <w:t>1. □【二代测序】肠4基因（KRAS/NRAS/BRAF/PIK）</w:t>
      </w:r>
    </w:p>
    <w:p>
      <w:pPr>
        <w:spacing w:before="120" w:after="120" w:line="288" w:lineRule="auto"/>
        <w:ind w:left="2268" w:firstLine="0"/>
        <w:jc w:val="left"/>
      </w:pPr>
      <w:r>
        <w:rPr>
          <w:rFonts w:eastAsia="等线" w:ascii="Arial" w:cs="Arial" w:hAnsi="Arial"/>
          <w:sz w:val="22"/>
        </w:rPr>
        <w:t>2. □【二代测序】组织肺/结直肠癌10基因</w:t>
      </w:r>
    </w:p>
    <w:p>
      <w:pPr>
        <w:spacing w:before="120" w:after="120" w:line="288" w:lineRule="auto"/>
        <w:ind w:left="2268" w:firstLine="0"/>
        <w:jc w:val="left"/>
      </w:pPr>
      <w:r>
        <w:rPr>
          <w:rFonts w:eastAsia="等线" w:ascii="Arial" w:cs="Arial" w:hAnsi="Arial"/>
          <w:sz w:val="22"/>
        </w:rPr>
        <w:t>3. □【二代测序】组织大Panel基因检测</w:t>
      </w:r>
    </w:p>
    <w:p>
      <w:pPr>
        <w:spacing w:before="120" w:after="120" w:line="288" w:lineRule="auto"/>
        <w:ind w:left="2268" w:firstLine="0"/>
        <w:jc w:val="left"/>
      </w:pPr>
      <w:r>
        <w:rPr>
          <w:rFonts w:eastAsia="等线" w:ascii="Arial" w:cs="Arial" w:hAnsi="Arial"/>
          <w:sz w:val="22"/>
        </w:rPr>
        <w:t>4. □【PCR】KNBP基因（KRAS/NRAS/BRAF等）</w:t>
      </w:r>
    </w:p>
    <w:p>
      <w:pPr>
        <w:spacing w:before="120" w:after="120" w:line="288" w:lineRule="auto"/>
        <w:ind w:left="2268" w:firstLine="0"/>
        <w:jc w:val="left"/>
      </w:pPr>
      <w:r>
        <w:rPr>
          <w:rFonts w:eastAsia="等线" w:ascii="Arial" w:cs="Arial" w:hAnsi="Arial"/>
          <w:sz w:val="22"/>
        </w:rPr>
        <w:t>5. □【一代测序】C-kit/PDGFRA基因测序</w:t>
      </w:r>
    </w:p>
    <w:p>
      <w:pPr>
        <w:spacing w:before="120" w:after="120" w:line="288" w:lineRule="auto"/>
        <w:ind w:left="2268" w:firstLine="0"/>
        <w:jc w:val="left"/>
      </w:pPr>
      <w:r>
        <w:rPr>
          <w:rFonts w:eastAsia="等线" w:ascii="Arial" w:cs="Arial" w:hAnsi="Arial"/>
          <w:sz w:val="22"/>
        </w:rPr>
        <w:t>6. □【一代测序】MSI（结直肠癌）</w:t>
      </w:r>
    </w:p>
    <w:p>
      <w:pPr>
        <w:spacing w:before="120" w:after="120" w:line="288" w:lineRule="auto"/>
        <w:ind w:left="2268" w:firstLine="0"/>
        <w:jc w:val="left"/>
      </w:pPr>
      <w:r>
        <w:rPr>
          <w:rFonts w:eastAsia="等线" w:ascii="Arial" w:cs="Arial" w:hAnsi="Arial"/>
          <w:sz w:val="22"/>
        </w:rPr>
        <w:t>7. □【二代测序】肠癌游离DNA基因检测</w:t>
      </w:r>
    </w:p>
    <w:p>
      <w:pPr>
        <w:spacing w:before="120" w:after="120" w:line="288" w:lineRule="auto"/>
        <w:ind w:left="2268" w:firstLine="0"/>
        <w:jc w:val="left"/>
      </w:pPr>
      <w:r>
        <w:rPr>
          <w:rFonts w:eastAsia="等线" w:ascii="Arial" w:cs="Arial" w:hAnsi="Arial"/>
          <w:sz w:val="22"/>
        </w:rPr>
        <w:t>8. □【PCR】BRAF基因</w:t>
      </w:r>
    </w:p>
    <w:p>
      <w:pPr>
        <w:spacing w:before="120" w:after="120" w:line="288" w:lineRule="auto"/>
        <w:ind w:left="2268" w:firstLine="0"/>
        <w:jc w:val="left"/>
      </w:pPr>
      <w:r>
        <w:rPr>
          <w:rFonts w:eastAsia="等线" w:ascii="Arial" w:cs="Arial" w:hAnsi="Arial"/>
          <w:sz w:val="22"/>
        </w:rPr>
        <w:t>9. □【PCR】KRAS基因</w:t>
      </w:r>
    </w:p>
    <w:p>
      <w:pPr>
        <w:spacing w:before="120" w:after="120" w:line="288" w:lineRule="auto"/>
        <w:ind w:left="2268" w:firstLine="0"/>
        <w:jc w:val="left"/>
      </w:pPr>
      <w:r>
        <w:rPr>
          <w:rFonts w:eastAsia="等线" w:ascii="Arial" w:cs="Arial" w:hAnsi="Arial"/>
          <w:sz w:val="22"/>
        </w:rPr>
        <w:t>10.□【一代测序】MSI（其他肿瘤）</w:t>
      </w:r>
    </w:p>
    <w:p>
      <w:pPr>
        <w:spacing w:before="120" w:after="120" w:line="288" w:lineRule="auto"/>
        <w:ind w:left="2268" w:firstLine="0"/>
        <w:jc w:val="left"/>
      </w:pPr>
      <w:r>
        <w:rPr>
          <w:rFonts w:eastAsia="等线" w:ascii="Arial" w:cs="Arial" w:hAnsi="Arial"/>
          <w:sz w:val="22"/>
        </w:rPr>
        <w:t>11.□【FISH】HER2基因扩增</w:t>
      </w:r>
    </w:p>
    <w:p>
      <w:pPr>
        <w:spacing w:before="120" w:after="120" w:line="288" w:lineRule="auto"/>
        <w:ind w:left="1814"/>
        <w:jc w:val="left"/>
      </w:pPr>
      <w:r>
        <w:rPr>
          <w:rFonts w:eastAsia="等线" w:ascii="Arial" w:cs="Arial" w:hAnsi="Arial"/>
          <w:b w:val="true"/>
          <w:sz w:val="22"/>
        </w:rPr>
        <w:t>甲状腺肿瘤相关项目</w:t>
      </w:r>
    </w:p>
    <w:p>
      <w:pPr>
        <w:spacing w:before="120" w:after="120" w:line="288" w:lineRule="auto"/>
        <w:ind w:left="2268" w:firstLine="0"/>
        <w:jc w:val="left"/>
      </w:pPr>
      <w:r>
        <w:rPr>
          <w:rFonts w:eastAsia="等线" w:ascii="Arial" w:cs="Arial" w:hAnsi="Arial"/>
          <w:sz w:val="22"/>
        </w:rPr>
        <w:t>1. □【PCR】BRAF基因</w:t>
      </w:r>
    </w:p>
    <w:p>
      <w:pPr>
        <w:spacing w:before="120" w:after="120" w:line="288" w:lineRule="auto"/>
        <w:ind w:left="2268" w:firstLine="0"/>
        <w:jc w:val="left"/>
      </w:pPr>
      <w:r>
        <w:rPr>
          <w:rFonts w:eastAsia="等线" w:ascii="Arial" w:cs="Arial" w:hAnsi="Arial"/>
          <w:sz w:val="22"/>
        </w:rPr>
        <w:t>2. □【PCR】甲状腺BRAF/TERT/CCDC6-RET基因</w:t>
      </w:r>
    </w:p>
    <w:p>
      <w:pPr>
        <w:spacing w:before="120" w:after="120" w:line="288" w:lineRule="auto"/>
        <w:ind w:left="2268" w:firstLine="0"/>
        <w:jc w:val="left"/>
      </w:pPr>
      <w:r>
        <w:rPr>
          <w:rFonts w:eastAsia="等线" w:ascii="Arial" w:cs="Arial" w:hAnsi="Arial"/>
          <w:sz w:val="22"/>
        </w:rPr>
        <w:t>3. □【二代测序】组织大Panel基因检测</w:t>
      </w:r>
    </w:p>
    <w:p>
      <w:pPr>
        <w:spacing w:before="120" w:after="120" w:line="288" w:lineRule="auto"/>
        <w:ind w:left="1814"/>
        <w:jc w:val="left"/>
      </w:pPr>
      <w:r>
        <w:rPr>
          <w:rFonts w:eastAsia="等线" w:ascii="Arial" w:cs="Arial" w:hAnsi="Arial"/>
          <w:b w:val="true"/>
          <w:sz w:val="22"/>
        </w:rPr>
        <w:t>妇科肿瘤相关项目</w:t>
      </w:r>
    </w:p>
    <w:p>
      <w:pPr>
        <w:spacing w:before="120" w:after="120" w:line="288" w:lineRule="auto"/>
        <w:ind w:left="2268" w:firstLine="0"/>
        <w:jc w:val="left"/>
      </w:pPr>
      <w:r>
        <w:rPr>
          <w:rFonts w:eastAsia="等线" w:ascii="Arial" w:cs="Arial" w:hAnsi="Arial"/>
          <w:sz w:val="22"/>
        </w:rPr>
        <w:t>1. □【PCR】HPV病毒分型检测</w:t>
      </w:r>
    </w:p>
    <w:p>
      <w:pPr>
        <w:spacing w:before="120" w:after="120" w:line="288" w:lineRule="auto"/>
        <w:ind w:left="2268" w:firstLine="0"/>
        <w:jc w:val="left"/>
      </w:pPr>
      <w:r>
        <w:rPr>
          <w:rFonts w:eastAsia="等线" w:ascii="Arial" w:cs="Arial" w:hAnsi="Arial"/>
          <w:sz w:val="22"/>
        </w:rPr>
        <w:t>2. □【二代测序】BRCA1/2基因</w:t>
      </w:r>
    </w:p>
    <w:p>
      <w:pPr>
        <w:spacing w:before="120" w:after="120" w:line="288" w:lineRule="auto"/>
        <w:ind w:left="2268" w:firstLine="0"/>
        <w:jc w:val="left"/>
      </w:pPr>
      <w:r>
        <w:rPr>
          <w:rFonts w:eastAsia="等线" w:ascii="Arial" w:cs="Arial" w:hAnsi="Arial"/>
          <w:sz w:val="22"/>
        </w:rPr>
        <w:t>3. □【二代测序】组织大Panel基因检测</w:t>
      </w:r>
    </w:p>
    <w:p>
      <w:pPr>
        <w:spacing w:before="120" w:after="120" w:line="288" w:lineRule="auto"/>
        <w:ind w:left="2268" w:firstLine="0"/>
        <w:jc w:val="left"/>
      </w:pPr>
      <w:r>
        <w:rPr>
          <w:rFonts w:eastAsia="等线" w:ascii="Arial" w:cs="Arial" w:hAnsi="Arial"/>
          <w:sz w:val="22"/>
        </w:rPr>
        <w:t>4. □【二代测序】子宫内膜癌分子分型基因检测</w:t>
      </w:r>
    </w:p>
    <w:p>
      <w:pPr>
        <w:spacing w:before="120" w:after="120" w:line="288" w:lineRule="auto"/>
        <w:ind w:left="2268" w:firstLine="0"/>
        <w:jc w:val="left"/>
      </w:pPr>
      <w:r>
        <w:rPr>
          <w:rFonts w:eastAsia="等线" w:ascii="Arial" w:cs="Arial" w:hAnsi="Arial"/>
          <w:sz w:val="22"/>
        </w:rPr>
        <w:t>5. □【二代测序】同源重组缺陷（HRD）检测</w:t>
      </w:r>
    </w:p>
    <w:p>
      <w:pPr>
        <w:spacing w:before="120" w:after="120" w:line="288" w:lineRule="auto"/>
        <w:ind w:left="2268" w:firstLine="0"/>
        <w:jc w:val="left"/>
      </w:pPr>
      <w:r>
        <w:rPr>
          <w:rFonts w:eastAsia="等线" w:ascii="Arial" w:cs="Arial" w:hAnsi="Arial"/>
          <w:sz w:val="22"/>
        </w:rPr>
        <w:t>6. □【一代测序】P53基因测序</w:t>
      </w:r>
    </w:p>
    <w:p>
      <w:pPr>
        <w:spacing w:before="120" w:after="120" w:line="288" w:lineRule="auto"/>
        <w:ind w:left="2268" w:firstLine="0"/>
        <w:jc w:val="left"/>
      </w:pPr>
      <w:r>
        <w:rPr>
          <w:rFonts w:eastAsia="等线" w:ascii="Arial" w:cs="Arial" w:hAnsi="Arial"/>
          <w:sz w:val="22"/>
        </w:rPr>
        <w:t>7. □【一代测序】MSI（其他肿瘤）</w:t>
      </w:r>
    </w:p>
    <w:p>
      <w:pPr>
        <w:spacing w:before="120" w:after="120" w:line="288" w:lineRule="auto"/>
        <w:ind w:left="2268" w:firstLine="0"/>
        <w:jc w:val="left"/>
      </w:pPr>
      <w:r>
        <w:rPr>
          <w:rFonts w:eastAsia="等线" w:ascii="Arial" w:cs="Arial" w:hAnsi="Arial"/>
          <w:sz w:val="22"/>
        </w:rPr>
        <w:t>8. □【一代测序】FOXL2/DICER1基因突变检测</w:t>
      </w:r>
    </w:p>
    <w:p>
      <w:pPr>
        <w:spacing w:before="120" w:after="120" w:line="288" w:lineRule="auto"/>
        <w:ind w:left="2268" w:firstLine="0"/>
        <w:jc w:val="left"/>
      </w:pPr>
      <w:r>
        <w:rPr>
          <w:rFonts w:eastAsia="等线" w:ascii="Arial" w:cs="Arial" w:hAnsi="Arial"/>
          <w:sz w:val="22"/>
        </w:rPr>
        <w:t>9. □【FISH】BCOR基因分离</w:t>
      </w:r>
    </w:p>
    <w:p>
      <w:pPr>
        <w:spacing w:before="120" w:after="120" w:line="288" w:lineRule="auto"/>
        <w:ind w:left="2268" w:firstLine="0"/>
        <w:jc w:val="left"/>
      </w:pPr>
      <w:r>
        <w:rPr>
          <w:rFonts w:eastAsia="等线" w:ascii="Arial" w:cs="Arial" w:hAnsi="Arial"/>
          <w:sz w:val="22"/>
        </w:rPr>
        <w:t>10.□【FISH】JAZF1基因分离</w:t>
      </w:r>
    </w:p>
    <w:p>
      <w:pPr>
        <w:spacing w:before="120" w:after="120" w:line="288" w:lineRule="auto"/>
        <w:ind w:left="2268" w:firstLine="0"/>
        <w:jc w:val="left"/>
      </w:pPr>
      <w:r>
        <w:rPr>
          <w:rFonts w:eastAsia="等线" w:ascii="Arial" w:cs="Arial" w:hAnsi="Arial"/>
          <w:sz w:val="22"/>
        </w:rPr>
        <w:t>11.□【FISH】PHF1基因分离</w:t>
      </w:r>
    </w:p>
    <w:p>
      <w:pPr>
        <w:spacing w:before="120" w:after="120" w:line="288" w:lineRule="auto"/>
        <w:ind w:left="2268" w:firstLine="0"/>
        <w:jc w:val="left"/>
      </w:pPr>
      <w:r>
        <w:rPr>
          <w:rFonts w:eastAsia="等线" w:ascii="Arial" w:cs="Arial" w:hAnsi="Arial"/>
          <w:sz w:val="22"/>
        </w:rPr>
        <w:t>12.□【FISH】PLAG1基因分离</w:t>
      </w:r>
    </w:p>
    <w:p>
      <w:pPr>
        <w:spacing w:before="120" w:after="120" w:line="288" w:lineRule="auto"/>
        <w:ind w:left="2268" w:firstLine="0"/>
        <w:jc w:val="left"/>
      </w:pPr>
      <w:r>
        <w:rPr>
          <w:rFonts w:eastAsia="等线" w:ascii="Arial" w:cs="Arial" w:hAnsi="Arial"/>
          <w:sz w:val="22"/>
        </w:rPr>
        <w:t>13.□【FISH】YWHAE基因分离</w:t>
      </w:r>
    </w:p>
    <w:p>
      <w:pPr>
        <w:spacing w:before="120" w:after="120" w:line="288" w:lineRule="auto"/>
        <w:ind w:left="1814"/>
        <w:jc w:val="left"/>
      </w:pPr>
      <w:r>
        <w:rPr>
          <w:rFonts w:eastAsia="等线" w:ascii="Arial" w:cs="Arial" w:hAnsi="Arial"/>
          <w:b w:val="true"/>
          <w:sz w:val="22"/>
        </w:rPr>
        <w:t>乳腺肿瘤相关项目</w:t>
      </w:r>
    </w:p>
    <w:p>
      <w:pPr>
        <w:spacing w:before="120" w:after="120" w:line="288" w:lineRule="auto"/>
        <w:ind w:left="2268" w:firstLine="0"/>
        <w:jc w:val="left"/>
      </w:pPr>
      <w:r>
        <w:rPr>
          <w:rFonts w:eastAsia="等线" w:ascii="Arial" w:cs="Arial" w:hAnsi="Arial"/>
          <w:sz w:val="22"/>
        </w:rPr>
        <w:t>1. □【FISH】HER2基因扩增</w:t>
      </w:r>
    </w:p>
    <w:p>
      <w:pPr>
        <w:spacing w:before="120" w:after="120" w:line="288" w:lineRule="auto"/>
        <w:ind w:left="2268" w:firstLine="0"/>
        <w:jc w:val="left"/>
      </w:pPr>
      <w:r>
        <w:rPr>
          <w:rFonts w:eastAsia="等线" w:ascii="Arial" w:cs="Arial" w:hAnsi="Arial"/>
          <w:sz w:val="22"/>
        </w:rPr>
        <w:t>2. □【二代测序】BRCA1/2基因</w:t>
      </w:r>
    </w:p>
    <w:p>
      <w:pPr>
        <w:spacing w:before="120" w:after="120" w:line="288" w:lineRule="auto"/>
        <w:ind w:left="2268" w:firstLine="0"/>
        <w:jc w:val="left"/>
      </w:pPr>
      <w:r>
        <w:rPr>
          <w:rFonts w:eastAsia="等线" w:ascii="Arial" w:cs="Arial" w:hAnsi="Arial"/>
          <w:sz w:val="22"/>
        </w:rPr>
        <w:t>3. □【二代测序】组织大Panel基因检测</w:t>
      </w:r>
    </w:p>
    <w:p>
      <w:pPr>
        <w:spacing w:before="120" w:after="120" w:line="288" w:lineRule="auto"/>
        <w:ind w:left="2268" w:firstLine="0"/>
        <w:jc w:val="left"/>
      </w:pPr>
      <w:r>
        <w:rPr>
          <w:rFonts w:eastAsia="等线" w:ascii="Arial" w:cs="Arial" w:hAnsi="Arial"/>
          <w:sz w:val="22"/>
        </w:rPr>
        <w:t>4. □【PCR】PIK3CA基因</w:t>
      </w:r>
    </w:p>
    <w:p>
      <w:pPr>
        <w:spacing w:before="120" w:after="120" w:line="288" w:lineRule="auto"/>
        <w:ind w:left="1814"/>
        <w:jc w:val="left"/>
      </w:pPr>
      <w:r>
        <w:rPr>
          <w:rFonts w:eastAsia="等线" w:ascii="Arial" w:cs="Arial" w:hAnsi="Arial"/>
          <w:b w:val="true"/>
          <w:sz w:val="22"/>
        </w:rPr>
        <w:t>脑胶质瘤相关项目</w:t>
      </w:r>
    </w:p>
    <w:p>
      <w:pPr>
        <w:spacing w:before="120" w:after="120" w:line="288" w:lineRule="auto"/>
        <w:ind w:left="2268" w:firstLine="0"/>
        <w:jc w:val="left"/>
      </w:pPr>
      <w:r>
        <w:rPr>
          <w:rFonts w:eastAsia="等线" w:ascii="Arial" w:cs="Arial" w:hAnsi="Arial"/>
          <w:sz w:val="22"/>
        </w:rPr>
        <w:t>1. □【PCR】脑胶质瘤IDH1基因突变检测</w:t>
      </w:r>
    </w:p>
    <w:p>
      <w:pPr>
        <w:spacing w:before="120" w:after="120" w:line="288" w:lineRule="auto"/>
        <w:ind w:left="2268" w:firstLine="0"/>
        <w:jc w:val="left"/>
      </w:pPr>
      <w:r>
        <w:rPr>
          <w:rFonts w:eastAsia="等线" w:ascii="Arial" w:cs="Arial" w:hAnsi="Arial"/>
          <w:sz w:val="22"/>
        </w:rPr>
        <w:t>2. □【PCR】人TERT基因启动子突变检测</w:t>
      </w:r>
    </w:p>
    <w:p>
      <w:pPr>
        <w:spacing w:before="120" w:after="120" w:line="288" w:lineRule="auto"/>
        <w:ind w:left="2268" w:firstLine="0"/>
        <w:jc w:val="left"/>
      </w:pPr>
      <w:r>
        <w:rPr>
          <w:rFonts w:eastAsia="等线" w:ascii="Arial" w:cs="Arial" w:hAnsi="Arial"/>
          <w:sz w:val="22"/>
        </w:rPr>
        <w:t>3. □【PCR】BRAF基因</w:t>
      </w:r>
    </w:p>
    <w:p>
      <w:pPr>
        <w:spacing w:before="120" w:after="120" w:line="288" w:lineRule="auto"/>
        <w:ind w:left="2268" w:firstLine="0"/>
        <w:jc w:val="left"/>
      </w:pPr>
      <w:r>
        <w:rPr>
          <w:rFonts w:eastAsia="等线" w:ascii="Arial" w:cs="Arial" w:hAnsi="Arial"/>
          <w:sz w:val="22"/>
        </w:rPr>
        <w:t>4. □【FISH】脑胶质瘤1P/19Q基因</w:t>
      </w:r>
    </w:p>
    <w:p>
      <w:pPr>
        <w:spacing w:before="120" w:after="120" w:line="288" w:lineRule="auto"/>
        <w:ind w:left="2268" w:firstLine="0"/>
        <w:jc w:val="left"/>
      </w:pPr>
      <w:r>
        <w:rPr>
          <w:rFonts w:eastAsia="等线" w:ascii="Arial" w:cs="Arial" w:hAnsi="Arial"/>
          <w:sz w:val="22"/>
        </w:rPr>
        <w:t>5. □【FISH】P16（CDKN2A）基因缺失</w:t>
      </w:r>
    </w:p>
    <w:p>
      <w:pPr>
        <w:spacing w:before="120" w:after="120" w:line="288" w:lineRule="auto"/>
        <w:ind w:left="2268" w:firstLine="0"/>
        <w:jc w:val="left"/>
      </w:pPr>
      <w:r>
        <w:rPr>
          <w:rFonts w:eastAsia="等线" w:ascii="Arial" w:cs="Arial" w:hAnsi="Arial"/>
          <w:sz w:val="22"/>
        </w:rPr>
        <w:t>6. □【FISH】EGFR基因扩增</w:t>
      </w:r>
    </w:p>
    <w:p>
      <w:pPr>
        <w:spacing w:before="120" w:after="120" w:line="288" w:lineRule="auto"/>
        <w:ind w:left="2268" w:firstLine="0"/>
        <w:jc w:val="left"/>
      </w:pPr>
      <w:r>
        <w:rPr>
          <w:rFonts w:eastAsia="等线" w:ascii="Arial" w:cs="Arial" w:hAnsi="Arial"/>
          <w:sz w:val="22"/>
        </w:rPr>
        <w:t>7. □【一代测序】P53基因测序</w:t>
      </w:r>
    </w:p>
    <w:p>
      <w:pPr>
        <w:spacing w:before="120" w:after="120" w:line="288" w:lineRule="auto"/>
        <w:ind w:left="1814"/>
        <w:jc w:val="left"/>
      </w:pPr>
      <w:r>
        <w:rPr>
          <w:rFonts w:eastAsia="等线" w:ascii="Arial" w:cs="Arial" w:hAnsi="Arial"/>
          <w:b w:val="true"/>
          <w:sz w:val="22"/>
        </w:rPr>
        <w:t>胆胰肿瘤相关项目</w:t>
      </w:r>
    </w:p>
    <w:p>
      <w:pPr>
        <w:spacing w:before="120" w:after="120" w:line="288" w:lineRule="auto"/>
        <w:ind w:left="2268" w:firstLine="0"/>
        <w:jc w:val="left"/>
      </w:pPr>
      <w:r>
        <w:rPr>
          <w:rFonts w:eastAsia="等线" w:ascii="Arial" w:cs="Arial" w:hAnsi="Arial"/>
          <w:sz w:val="22"/>
        </w:rPr>
        <w:t>1. □【FISH】FGFR2基因分离</w:t>
      </w:r>
    </w:p>
    <w:p>
      <w:pPr>
        <w:spacing w:before="120" w:after="120" w:line="288" w:lineRule="auto"/>
        <w:ind w:left="2268" w:firstLine="0"/>
        <w:jc w:val="left"/>
      </w:pPr>
      <w:r>
        <w:rPr>
          <w:rFonts w:eastAsia="等线" w:ascii="Arial" w:cs="Arial" w:hAnsi="Arial"/>
          <w:sz w:val="22"/>
        </w:rPr>
        <w:t>2. □【二代测序】BRCA1/2基因</w:t>
      </w:r>
    </w:p>
    <w:p>
      <w:pPr>
        <w:spacing w:before="120" w:after="120" w:line="288" w:lineRule="auto"/>
        <w:ind w:left="2268" w:firstLine="0"/>
        <w:jc w:val="left"/>
      </w:pPr>
      <w:r>
        <w:rPr>
          <w:rFonts w:eastAsia="等线" w:ascii="Arial" w:cs="Arial" w:hAnsi="Arial"/>
          <w:sz w:val="22"/>
        </w:rPr>
        <w:t>3. □【PCR】KRAS基因</w:t>
      </w:r>
    </w:p>
    <w:p>
      <w:pPr>
        <w:spacing w:before="120" w:after="120" w:line="288" w:lineRule="auto"/>
        <w:ind w:left="1814"/>
        <w:jc w:val="left"/>
      </w:pPr>
      <w:r>
        <w:rPr>
          <w:rFonts w:eastAsia="等线" w:ascii="Arial" w:cs="Arial" w:hAnsi="Arial"/>
          <w:b w:val="true"/>
          <w:sz w:val="22"/>
        </w:rPr>
        <w:t>造血与淋巴组织肿瘤相关项目</w:t>
      </w:r>
    </w:p>
    <w:p>
      <w:pPr>
        <w:spacing w:before="120" w:after="120" w:line="288" w:lineRule="auto"/>
        <w:ind w:left="2268" w:firstLine="0"/>
        <w:jc w:val="left"/>
      </w:pPr>
      <w:r>
        <w:rPr>
          <w:rFonts w:eastAsia="等线" w:ascii="Arial" w:cs="Arial" w:hAnsi="Arial"/>
          <w:sz w:val="22"/>
        </w:rPr>
        <w:t>1. □【流式】免疫残留</w:t>
      </w:r>
    </w:p>
    <w:p>
      <w:pPr>
        <w:spacing w:before="120" w:after="120" w:line="288" w:lineRule="auto"/>
        <w:ind w:left="2268" w:firstLine="0"/>
        <w:jc w:val="left"/>
      </w:pPr>
      <w:r>
        <w:rPr>
          <w:rFonts w:eastAsia="等线" w:ascii="Arial" w:cs="Arial" w:hAnsi="Arial"/>
          <w:sz w:val="22"/>
        </w:rPr>
        <w:t>2. □【流式】免疫分型</w:t>
      </w:r>
    </w:p>
    <w:p>
      <w:pPr>
        <w:spacing w:before="120" w:after="120" w:line="288" w:lineRule="auto"/>
        <w:ind w:left="2268" w:firstLine="0"/>
        <w:jc w:val="left"/>
      </w:pPr>
      <w:r>
        <w:rPr>
          <w:rFonts w:eastAsia="等线" w:ascii="Arial" w:cs="Arial" w:hAnsi="Arial"/>
          <w:sz w:val="22"/>
        </w:rPr>
        <w:t>3. □【一代测序】B重排</w:t>
      </w:r>
    </w:p>
    <w:p>
      <w:pPr>
        <w:spacing w:before="120" w:after="120" w:line="288" w:lineRule="auto"/>
        <w:ind w:left="2268" w:firstLine="0"/>
        <w:jc w:val="left"/>
      </w:pPr>
      <w:r>
        <w:rPr>
          <w:rFonts w:eastAsia="等线" w:ascii="Arial" w:cs="Arial" w:hAnsi="Arial"/>
          <w:sz w:val="22"/>
        </w:rPr>
        <w:t>4. □【一代测序】CD79B基因测序</w:t>
      </w:r>
    </w:p>
    <w:p>
      <w:pPr>
        <w:spacing w:before="120" w:after="120" w:line="288" w:lineRule="auto"/>
        <w:ind w:left="2268" w:firstLine="0"/>
        <w:jc w:val="left"/>
      </w:pPr>
      <w:r>
        <w:rPr>
          <w:rFonts w:eastAsia="等线" w:ascii="Arial" w:cs="Arial" w:hAnsi="Arial"/>
          <w:sz w:val="22"/>
        </w:rPr>
        <w:t>5. □【一代测序】P53基因测序</w:t>
      </w:r>
    </w:p>
    <w:p>
      <w:pPr>
        <w:spacing w:before="120" w:after="120" w:line="288" w:lineRule="auto"/>
        <w:ind w:left="2268" w:firstLine="0"/>
        <w:jc w:val="left"/>
      </w:pPr>
      <w:r>
        <w:rPr>
          <w:rFonts w:eastAsia="等线" w:ascii="Arial" w:cs="Arial" w:hAnsi="Arial"/>
          <w:sz w:val="22"/>
        </w:rPr>
        <w:t>6. □【一代测序】T重排</w:t>
      </w:r>
    </w:p>
    <w:p>
      <w:pPr>
        <w:spacing w:before="120" w:after="120" w:line="288" w:lineRule="auto"/>
        <w:ind w:left="2268" w:firstLine="0"/>
        <w:jc w:val="left"/>
      </w:pPr>
      <w:r>
        <w:rPr>
          <w:rFonts w:eastAsia="等线" w:ascii="Arial" w:cs="Arial" w:hAnsi="Arial"/>
          <w:sz w:val="22"/>
        </w:rPr>
        <w:t>7. □【FISH】BCL2基因分离</w:t>
      </w:r>
    </w:p>
    <w:p>
      <w:pPr>
        <w:spacing w:before="120" w:after="120" w:line="288" w:lineRule="auto"/>
        <w:ind w:left="2268" w:firstLine="0"/>
        <w:jc w:val="left"/>
      </w:pPr>
      <w:r>
        <w:rPr>
          <w:rFonts w:eastAsia="等线" w:ascii="Arial" w:cs="Arial" w:hAnsi="Arial"/>
          <w:sz w:val="22"/>
        </w:rPr>
        <w:t>8. □【FISH】BCL6基因分离</w:t>
      </w:r>
    </w:p>
    <w:p>
      <w:pPr>
        <w:spacing w:before="120" w:after="120" w:line="288" w:lineRule="auto"/>
        <w:ind w:left="2268" w:firstLine="0"/>
        <w:jc w:val="left"/>
      </w:pPr>
      <w:r>
        <w:rPr>
          <w:rFonts w:eastAsia="等线" w:ascii="Arial" w:cs="Arial" w:hAnsi="Arial"/>
          <w:sz w:val="22"/>
        </w:rPr>
        <w:t>9. □【FISH】MYC基因分离</w:t>
      </w:r>
    </w:p>
    <w:p>
      <w:pPr>
        <w:spacing w:before="120" w:after="120" w:line="288" w:lineRule="auto"/>
        <w:ind w:left="2268" w:firstLine="0"/>
        <w:jc w:val="left"/>
      </w:pPr>
      <w:r>
        <w:rPr>
          <w:rFonts w:eastAsia="等线" w:ascii="Arial" w:cs="Arial" w:hAnsi="Arial"/>
          <w:sz w:val="22"/>
        </w:rPr>
        <w:t>10.□【FISH】骨髓瘤P53/D13S19/RB1等基因</w:t>
      </w:r>
    </w:p>
    <w:p>
      <w:pPr>
        <w:spacing w:before="120" w:after="120" w:line="288" w:lineRule="auto"/>
        <w:ind w:left="2268" w:firstLine="0"/>
        <w:jc w:val="left"/>
      </w:pPr>
      <w:r>
        <w:rPr>
          <w:rFonts w:eastAsia="等线" w:ascii="Arial" w:cs="Arial" w:hAnsi="Arial"/>
          <w:sz w:val="22"/>
        </w:rPr>
        <w:t>11.□【FISH】慢淋P53/D13S25/CSP12等基因</w:t>
      </w:r>
    </w:p>
    <w:p>
      <w:pPr>
        <w:spacing w:before="120" w:after="120" w:line="288" w:lineRule="auto"/>
        <w:ind w:left="2268" w:firstLine="0"/>
        <w:jc w:val="left"/>
      </w:pPr>
      <w:r>
        <w:rPr>
          <w:rFonts w:eastAsia="等线" w:ascii="Arial" w:cs="Arial" w:hAnsi="Arial"/>
          <w:sz w:val="22"/>
        </w:rPr>
        <w:t>12. □【FISH】11Q染色体异常</w:t>
      </w:r>
    </w:p>
    <w:p>
      <w:pPr>
        <w:spacing w:before="120" w:after="120" w:line="288" w:lineRule="auto"/>
        <w:ind w:left="2268" w:firstLine="0"/>
        <w:jc w:val="left"/>
      </w:pPr>
      <w:r>
        <w:rPr>
          <w:rFonts w:eastAsia="等线" w:ascii="Arial" w:cs="Arial" w:hAnsi="Arial"/>
          <w:sz w:val="22"/>
        </w:rPr>
        <w:t>13. □【FISH】CCND1基因分离</w:t>
      </w:r>
    </w:p>
    <w:p>
      <w:pPr>
        <w:spacing w:before="120" w:after="120" w:line="288" w:lineRule="auto"/>
        <w:ind w:left="2268" w:firstLine="0"/>
        <w:jc w:val="left"/>
      </w:pPr>
      <w:r>
        <w:rPr>
          <w:rFonts w:eastAsia="等线" w:ascii="Arial" w:cs="Arial" w:hAnsi="Arial"/>
          <w:sz w:val="22"/>
        </w:rPr>
        <w:t>14. □【FISH】CCND2基因分离</w:t>
      </w:r>
    </w:p>
    <w:p>
      <w:pPr>
        <w:spacing w:before="120" w:after="120" w:line="288" w:lineRule="auto"/>
        <w:ind w:left="2268" w:firstLine="0"/>
        <w:jc w:val="left"/>
      </w:pPr>
      <w:r>
        <w:rPr>
          <w:rFonts w:eastAsia="等线" w:ascii="Arial" w:cs="Arial" w:hAnsi="Arial"/>
          <w:sz w:val="22"/>
        </w:rPr>
        <w:t>15. □【FISH】CCND3基因分离</w:t>
      </w:r>
    </w:p>
    <w:p>
      <w:pPr>
        <w:spacing w:before="120" w:after="120" w:line="288" w:lineRule="auto"/>
        <w:ind w:left="2268" w:firstLine="0"/>
        <w:jc w:val="left"/>
      </w:pPr>
      <w:r>
        <w:rPr>
          <w:rFonts w:eastAsia="等线" w:ascii="Arial" w:cs="Arial" w:hAnsi="Arial"/>
          <w:sz w:val="22"/>
        </w:rPr>
        <w:t>16. □【FISH】DUSP22基因分离</w:t>
      </w:r>
    </w:p>
    <w:p>
      <w:pPr>
        <w:spacing w:before="120" w:after="120" w:line="288" w:lineRule="auto"/>
        <w:ind w:left="2268" w:firstLine="0"/>
        <w:jc w:val="left"/>
      </w:pPr>
      <w:r>
        <w:rPr>
          <w:rFonts w:eastAsia="等线" w:ascii="Arial" w:cs="Arial" w:hAnsi="Arial"/>
          <w:sz w:val="22"/>
        </w:rPr>
        <w:t>17. □【FISH】TP63基因分离</w:t>
      </w:r>
    </w:p>
    <w:p>
      <w:pPr>
        <w:spacing w:before="120" w:after="120" w:line="288" w:lineRule="auto"/>
        <w:ind w:left="2268" w:firstLine="0"/>
        <w:jc w:val="left"/>
      </w:pPr>
      <w:r>
        <w:rPr>
          <w:rFonts w:eastAsia="等线" w:ascii="Arial" w:cs="Arial" w:hAnsi="Arial"/>
          <w:sz w:val="22"/>
        </w:rPr>
        <w:t>18. □【FISH】ETV6基因分离</w:t>
      </w:r>
    </w:p>
    <w:p>
      <w:pPr>
        <w:spacing w:before="120" w:after="120" w:line="288" w:lineRule="auto"/>
        <w:ind w:left="2268" w:firstLine="0"/>
        <w:jc w:val="left"/>
      </w:pPr>
      <w:r>
        <w:rPr>
          <w:rFonts w:eastAsia="等线" w:ascii="Arial" w:cs="Arial" w:hAnsi="Arial"/>
          <w:sz w:val="22"/>
        </w:rPr>
        <w:t>19. □【FISH】IRF4基因分离</w:t>
      </w:r>
    </w:p>
    <w:p>
      <w:pPr>
        <w:spacing w:before="120" w:after="120" w:line="288" w:lineRule="auto"/>
        <w:ind w:left="2268" w:firstLine="0"/>
        <w:jc w:val="left"/>
      </w:pPr>
      <w:r>
        <w:rPr>
          <w:rFonts w:eastAsia="等线" w:ascii="Arial" w:cs="Arial" w:hAnsi="Arial"/>
          <w:sz w:val="22"/>
        </w:rPr>
        <w:t>20. □【FISH】MALT1基因分离</w:t>
      </w:r>
    </w:p>
    <w:p>
      <w:pPr>
        <w:spacing w:before="120" w:after="120" w:line="288" w:lineRule="auto"/>
        <w:ind w:left="2268" w:firstLine="0"/>
        <w:jc w:val="left"/>
      </w:pPr>
      <w:r>
        <w:rPr>
          <w:rFonts w:eastAsia="等线" w:ascii="Arial" w:cs="Arial" w:hAnsi="Arial"/>
          <w:sz w:val="22"/>
        </w:rPr>
        <w:t>21. □【PCR】MYD88基因</w:t>
      </w:r>
    </w:p>
    <w:p>
      <w:pPr>
        <w:spacing w:before="120" w:after="120" w:line="288" w:lineRule="auto"/>
        <w:ind w:left="1814"/>
        <w:jc w:val="left"/>
      </w:pPr>
      <w:r>
        <w:rPr>
          <w:rFonts w:eastAsia="等线" w:ascii="Arial" w:cs="Arial" w:hAnsi="Arial"/>
          <w:b w:val="true"/>
          <w:sz w:val="22"/>
        </w:rPr>
        <w:t>软组织肿瘤相关项目</w:t>
      </w:r>
    </w:p>
    <w:p>
      <w:pPr>
        <w:spacing w:before="120" w:after="120" w:line="288" w:lineRule="auto"/>
        <w:ind w:left="2268" w:firstLine="0"/>
        <w:jc w:val="left"/>
      </w:pPr>
      <w:r>
        <w:rPr>
          <w:rFonts w:eastAsia="等线" w:ascii="Arial" w:cs="Arial" w:hAnsi="Arial"/>
          <w:sz w:val="22"/>
        </w:rPr>
        <w:t>1. □【FISH】EWSR1基因分离</w:t>
      </w:r>
    </w:p>
    <w:p>
      <w:pPr>
        <w:spacing w:before="120" w:after="120" w:line="288" w:lineRule="auto"/>
        <w:ind w:left="2268" w:firstLine="0"/>
        <w:jc w:val="left"/>
      </w:pPr>
      <w:r>
        <w:rPr>
          <w:rFonts w:eastAsia="等线" w:ascii="Arial" w:cs="Arial" w:hAnsi="Arial"/>
          <w:sz w:val="22"/>
        </w:rPr>
        <w:t>2. □【FISH】SS18（SYT）基因分离</w:t>
      </w:r>
    </w:p>
    <w:p>
      <w:pPr>
        <w:spacing w:before="120" w:after="120" w:line="288" w:lineRule="auto"/>
        <w:ind w:left="2268" w:firstLine="0"/>
        <w:jc w:val="left"/>
      </w:pPr>
      <w:r>
        <w:rPr>
          <w:rFonts w:eastAsia="等线" w:ascii="Arial" w:cs="Arial" w:hAnsi="Arial"/>
          <w:sz w:val="22"/>
        </w:rPr>
        <w:t>3. □【FISH】CAMTA1基因分离</w:t>
      </w:r>
    </w:p>
    <w:p>
      <w:pPr>
        <w:spacing w:before="120" w:after="120" w:line="288" w:lineRule="auto"/>
        <w:ind w:left="2268" w:firstLine="0"/>
        <w:jc w:val="left"/>
      </w:pPr>
      <w:r>
        <w:rPr>
          <w:rFonts w:eastAsia="等线" w:ascii="Arial" w:cs="Arial" w:hAnsi="Arial"/>
          <w:sz w:val="22"/>
        </w:rPr>
        <w:t>4. □【FISH】CIC基因分离</w:t>
      </w:r>
    </w:p>
    <w:p>
      <w:pPr>
        <w:spacing w:before="120" w:after="120" w:line="288" w:lineRule="auto"/>
        <w:ind w:left="2268" w:firstLine="0"/>
        <w:jc w:val="left"/>
      </w:pPr>
      <w:r>
        <w:rPr>
          <w:rFonts w:eastAsia="等线" w:ascii="Arial" w:cs="Arial" w:hAnsi="Arial"/>
          <w:sz w:val="22"/>
        </w:rPr>
        <w:t>5. □【FISH】DDIT3（CHOP）基因分离</w:t>
      </w:r>
    </w:p>
    <w:p>
      <w:pPr>
        <w:spacing w:before="120" w:after="120" w:line="288" w:lineRule="auto"/>
        <w:ind w:left="2268" w:firstLine="0"/>
        <w:jc w:val="left"/>
      </w:pPr>
      <w:r>
        <w:rPr>
          <w:rFonts w:eastAsia="等线" w:ascii="Arial" w:cs="Arial" w:hAnsi="Arial"/>
          <w:sz w:val="22"/>
        </w:rPr>
        <w:t>6. □【FISH】ETV6基因分离</w:t>
      </w:r>
    </w:p>
    <w:p>
      <w:pPr>
        <w:spacing w:before="120" w:after="120" w:line="288" w:lineRule="auto"/>
        <w:ind w:left="2268" w:firstLine="0"/>
        <w:jc w:val="left"/>
      </w:pPr>
      <w:r>
        <w:rPr>
          <w:rFonts w:eastAsia="等线" w:ascii="Arial" w:cs="Arial" w:hAnsi="Arial"/>
          <w:sz w:val="22"/>
        </w:rPr>
        <w:t>7. □【FISH】FKHR（FOXO1）基因分离</w:t>
      </w:r>
    </w:p>
    <w:p>
      <w:pPr>
        <w:spacing w:before="120" w:after="120" w:line="288" w:lineRule="auto"/>
        <w:ind w:left="2268" w:firstLine="0"/>
        <w:jc w:val="left"/>
      </w:pPr>
      <w:r>
        <w:rPr>
          <w:rFonts w:eastAsia="等线" w:ascii="Arial" w:cs="Arial" w:hAnsi="Arial"/>
          <w:sz w:val="22"/>
        </w:rPr>
        <w:t>8. □【FISH】MDM2基因扩增</w:t>
      </w:r>
    </w:p>
    <w:p>
      <w:pPr>
        <w:spacing w:before="120" w:after="120" w:line="288" w:lineRule="auto"/>
        <w:ind w:left="2268" w:firstLine="0"/>
        <w:jc w:val="left"/>
      </w:pPr>
      <w:r>
        <w:rPr>
          <w:rFonts w:eastAsia="等线" w:ascii="Arial" w:cs="Arial" w:hAnsi="Arial"/>
          <w:sz w:val="22"/>
        </w:rPr>
        <w:t>9. □【FISH】NCOA2基因分离</w:t>
      </w:r>
    </w:p>
    <w:p>
      <w:pPr>
        <w:spacing w:before="120" w:after="120" w:line="288" w:lineRule="auto"/>
        <w:ind w:left="2268" w:firstLine="0"/>
        <w:jc w:val="left"/>
      </w:pPr>
      <w:r>
        <w:rPr>
          <w:rFonts w:eastAsia="等线" w:ascii="Arial" w:cs="Arial" w:hAnsi="Arial"/>
          <w:sz w:val="22"/>
        </w:rPr>
        <w:t>10.□【FISH】NTRK1基因分离</w:t>
      </w:r>
    </w:p>
    <w:p>
      <w:pPr>
        <w:spacing w:before="120" w:after="120" w:line="288" w:lineRule="auto"/>
        <w:ind w:left="2268" w:firstLine="0"/>
        <w:jc w:val="left"/>
      </w:pPr>
      <w:r>
        <w:rPr>
          <w:rFonts w:eastAsia="等线" w:ascii="Arial" w:cs="Arial" w:hAnsi="Arial"/>
          <w:sz w:val="22"/>
        </w:rPr>
        <w:t>11.□【FISH】NTRK2基因分离</w:t>
      </w:r>
    </w:p>
    <w:p>
      <w:pPr>
        <w:spacing w:before="120" w:after="120" w:line="288" w:lineRule="auto"/>
        <w:ind w:left="2268" w:firstLine="0"/>
        <w:jc w:val="left"/>
      </w:pPr>
      <w:r>
        <w:rPr>
          <w:rFonts w:eastAsia="等线" w:ascii="Arial" w:cs="Arial" w:hAnsi="Arial"/>
          <w:sz w:val="22"/>
        </w:rPr>
        <w:t>12.□【FISH】ALK基因分离</w:t>
      </w:r>
    </w:p>
    <w:p>
      <w:pPr>
        <w:spacing w:before="120" w:after="120" w:line="288" w:lineRule="auto"/>
        <w:ind w:left="2268" w:firstLine="0"/>
        <w:jc w:val="left"/>
      </w:pPr>
      <w:r>
        <w:rPr>
          <w:rFonts w:eastAsia="等线" w:ascii="Arial" w:cs="Arial" w:hAnsi="Arial"/>
          <w:sz w:val="22"/>
        </w:rPr>
        <w:t>13.□【FISH】BCOR基因分离</w:t>
      </w:r>
    </w:p>
    <w:p>
      <w:pPr>
        <w:spacing w:before="120" w:after="120" w:line="288" w:lineRule="auto"/>
        <w:ind w:left="2268" w:firstLine="0"/>
        <w:jc w:val="left"/>
      </w:pPr>
      <w:r>
        <w:rPr>
          <w:rFonts w:eastAsia="等线" w:ascii="Arial" w:cs="Arial" w:hAnsi="Arial"/>
          <w:sz w:val="22"/>
        </w:rPr>
        <w:t>14.□【FISH】NTRK3基因分离</w:t>
      </w:r>
    </w:p>
    <w:p>
      <w:pPr>
        <w:spacing w:before="120" w:after="120" w:line="288" w:lineRule="auto"/>
        <w:ind w:left="2268" w:firstLine="0"/>
        <w:jc w:val="left"/>
      </w:pPr>
      <w:r>
        <w:rPr>
          <w:rFonts w:eastAsia="等线" w:ascii="Arial" w:cs="Arial" w:hAnsi="Arial"/>
          <w:sz w:val="22"/>
        </w:rPr>
        <w:t>15 □【FISH】PDGFB基因分离</w:t>
      </w:r>
    </w:p>
    <w:p>
      <w:pPr>
        <w:spacing w:before="120" w:after="120" w:line="288" w:lineRule="auto"/>
        <w:ind w:left="2268" w:firstLine="0"/>
        <w:jc w:val="left"/>
      </w:pPr>
      <w:r>
        <w:rPr>
          <w:rFonts w:eastAsia="等线" w:ascii="Arial" w:cs="Arial" w:hAnsi="Arial"/>
          <w:sz w:val="22"/>
        </w:rPr>
        <w:t>16.□【FISH】PHF1基因分离</w:t>
      </w:r>
    </w:p>
    <w:p>
      <w:pPr>
        <w:spacing w:before="120" w:after="120" w:line="288" w:lineRule="auto"/>
        <w:ind w:left="2268" w:firstLine="0"/>
        <w:jc w:val="left"/>
      </w:pPr>
      <w:r>
        <w:rPr>
          <w:rFonts w:eastAsia="等线" w:ascii="Arial" w:cs="Arial" w:hAnsi="Arial"/>
          <w:sz w:val="22"/>
        </w:rPr>
        <w:t>17.□【FISH】PLAG1基因分离</w:t>
      </w:r>
    </w:p>
    <w:p>
      <w:pPr>
        <w:spacing w:before="120" w:after="120" w:line="288" w:lineRule="auto"/>
        <w:ind w:left="2268" w:firstLine="0"/>
        <w:jc w:val="left"/>
      </w:pPr>
      <w:r>
        <w:rPr>
          <w:rFonts w:eastAsia="等线" w:ascii="Arial" w:cs="Arial" w:hAnsi="Arial"/>
          <w:sz w:val="22"/>
        </w:rPr>
        <w:t>18.□【FISH】RET基因分离</w:t>
      </w:r>
    </w:p>
    <w:p>
      <w:pPr>
        <w:spacing w:before="120" w:after="120" w:line="288" w:lineRule="auto"/>
        <w:ind w:left="2268" w:firstLine="0"/>
        <w:jc w:val="left"/>
      </w:pPr>
      <w:r>
        <w:rPr>
          <w:rFonts w:eastAsia="等线" w:ascii="Arial" w:cs="Arial" w:hAnsi="Arial"/>
          <w:sz w:val="22"/>
        </w:rPr>
        <w:t>19.□【FISH】TFE3基因分离</w:t>
      </w:r>
    </w:p>
    <w:p>
      <w:pPr>
        <w:spacing w:before="120" w:after="120" w:line="288" w:lineRule="auto"/>
        <w:ind w:left="2268" w:firstLine="0"/>
        <w:jc w:val="left"/>
      </w:pPr>
      <w:r>
        <w:rPr>
          <w:rFonts w:eastAsia="等线" w:ascii="Arial" w:cs="Arial" w:hAnsi="Arial"/>
          <w:sz w:val="22"/>
        </w:rPr>
        <w:t>20.□【FISH】USP6基因分离</w:t>
      </w:r>
    </w:p>
    <w:p>
      <w:pPr>
        <w:spacing w:before="120" w:after="120" w:line="288" w:lineRule="auto"/>
        <w:ind w:left="2268" w:firstLine="0"/>
        <w:jc w:val="left"/>
      </w:pPr>
      <w:r>
        <w:rPr>
          <w:rFonts w:eastAsia="等线" w:ascii="Arial" w:cs="Arial" w:hAnsi="Arial"/>
          <w:sz w:val="22"/>
        </w:rPr>
        <w:t>21.□【FISH】YWHAE基因分离</w:t>
      </w:r>
    </w:p>
    <w:p>
      <w:pPr>
        <w:spacing w:before="120" w:after="120" w:line="288" w:lineRule="auto"/>
        <w:ind w:left="1814"/>
        <w:jc w:val="left"/>
      </w:pPr>
      <w:r>
        <w:rPr>
          <w:rFonts w:eastAsia="等线" w:ascii="Arial" w:cs="Arial" w:hAnsi="Arial"/>
          <w:b w:val="true"/>
          <w:sz w:val="22"/>
        </w:rPr>
        <w:t>黑色素瘤相关项目</w:t>
      </w:r>
    </w:p>
    <w:p>
      <w:pPr>
        <w:spacing w:before="120" w:after="120" w:line="288" w:lineRule="auto"/>
        <w:ind w:left="2268" w:firstLine="0"/>
        <w:jc w:val="left"/>
      </w:pPr>
      <w:r>
        <w:rPr>
          <w:rFonts w:eastAsia="等线" w:ascii="Arial" w:cs="Arial" w:hAnsi="Arial"/>
          <w:sz w:val="22"/>
        </w:rPr>
        <w:t>1. □【PCR】BRAF基因</w:t>
      </w:r>
    </w:p>
    <w:p>
      <w:pPr>
        <w:spacing w:before="120" w:after="120" w:line="288" w:lineRule="auto"/>
        <w:ind w:left="2268" w:firstLine="0"/>
        <w:jc w:val="left"/>
      </w:pPr>
      <w:r>
        <w:rPr>
          <w:rFonts w:eastAsia="等线" w:ascii="Arial" w:cs="Arial" w:hAnsi="Arial"/>
          <w:sz w:val="22"/>
        </w:rPr>
        <w:t>2. □【一代测序】C-kit/PDGFRA基因测序</w:t>
      </w:r>
    </w:p>
    <w:p>
      <w:pPr>
        <w:spacing w:before="120" w:after="120" w:line="288" w:lineRule="auto"/>
        <w:ind w:left="2268" w:firstLine="0"/>
        <w:jc w:val="left"/>
      </w:pPr>
      <w:r>
        <w:rPr>
          <w:rFonts w:eastAsia="等线" w:ascii="Arial" w:cs="Arial" w:hAnsi="Arial"/>
          <w:sz w:val="22"/>
        </w:rPr>
        <w:t>3. □【PCR】KNBP基因（KRAS/NRAS/BRAF等）</w:t>
      </w:r>
    </w:p>
    <w:p>
      <w:pPr>
        <w:spacing w:before="120" w:after="120" w:line="288" w:lineRule="auto"/>
        <w:ind w:left="2268" w:firstLine="0"/>
        <w:jc w:val="left"/>
      </w:pPr>
      <w:r>
        <w:rPr>
          <w:rFonts w:eastAsia="等线" w:ascii="Arial" w:cs="Arial" w:hAnsi="Arial"/>
          <w:sz w:val="22"/>
        </w:rPr>
        <w:t>4. □【FISH】恶性黑色素瘤鉴别诊断</w:t>
      </w:r>
    </w:p>
    <w:p>
      <w:pPr>
        <w:spacing w:before="120" w:after="120" w:line="288" w:lineRule="auto"/>
        <w:ind w:left="1814"/>
        <w:jc w:val="left"/>
      </w:pPr>
      <w:r>
        <w:rPr>
          <w:rFonts w:eastAsia="等线" w:ascii="Arial" w:cs="Arial" w:hAnsi="Arial"/>
          <w:b w:val="true"/>
          <w:sz w:val="22"/>
        </w:rPr>
        <w:t>泌尿系统肿瘤及男性生殖系统相关项目</w:t>
      </w:r>
    </w:p>
    <w:p>
      <w:pPr>
        <w:spacing w:before="120" w:after="120" w:line="288" w:lineRule="auto"/>
        <w:ind w:left="2268" w:firstLine="0"/>
        <w:jc w:val="left"/>
      </w:pPr>
      <w:r>
        <w:rPr>
          <w:rFonts w:eastAsia="等线" w:ascii="Arial" w:cs="Arial" w:hAnsi="Arial"/>
          <w:sz w:val="22"/>
        </w:rPr>
        <w:t>1. □【二代测序】BRCA1/2基因</w:t>
      </w:r>
    </w:p>
    <w:p>
      <w:pPr>
        <w:spacing w:before="120" w:after="120" w:line="288" w:lineRule="auto"/>
        <w:ind w:left="2268" w:firstLine="0"/>
        <w:jc w:val="left"/>
      </w:pPr>
      <w:r>
        <w:rPr>
          <w:rFonts w:eastAsia="等线" w:ascii="Arial" w:cs="Arial" w:hAnsi="Arial"/>
          <w:sz w:val="22"/>
        </w:rPr>
        <w:t>2. □【二代测序】组织大Panel基因检测</w:t>
      </w:r>
    </w:p>
    <w:p>
      <w:pPr>
        <w:spacing w:before="120" w:after="120" w:line="288" w:lineRule="auto"/>
        <w:ind w:left="2268" w:firstLine="0"/>
        <w:jc w:val="left"/>
      </w:pPr>
      <w:r>
        <w:rPr>
          <w:rFonts w:eastAsia="等线" w:ascii="Arial" w:cs="Arial" w:hAnsi="Arial"/>
          <w:sz w:val="22"/>
        </w:rPr>
        <w:t>3. □【FISH】3p染色体异常</w:t>
      </w:r>
    </w:p>
    <w:p>
      <w:pPr>
        <w:spacing w:before="120" w:after="120" w:line="288" w:lineRule="auto"/>
        <w:ind w:left="2268" w:firstLine="0"/>
        <w:jc w:val="left"/>
      </w:pPr>
      <w:r>
        <w:rPr>
          <w:rFonts w:eastAsia="等线" w:ascii="Arial" w:cs="Arial" w:hAnsi="Arial"/>
          <w:sz w:val="22"/>
        </w:rPr>
        <w:t>4. □【FISH】Y染色体异常</w:t>
      </w:r>
    </w:p>
    <w:p>
      <w:pPr>
        <w:spacing w:before="120" w:after="120" w:line="288" w:lineRule="auto"/>
        <w:ind w:left="2268" w:firstLine="0"/>
        <w:jc w:val="left"/>
      </w:pPr>
      <w:r>
        <w:rPr>
          <w:rFonts w:eastAsia="等线" w:ascii="Arial" w:cs="Arial" w:hAnsi="Arial"/>
          <w:sz w:val="22"/>
        </w:rPr>
        <w:t>5. □【FISH】7号染色体异常</w:t>
      </w:r>
    </w:p>
    <w:p>
      <w:pPr>
        <w:spacing w:before="120" w:after="120" w:line="288" w:lineRule="auto"/>
        <w:ind w:left="2268" w:firstLine="0"/>
        <w:jc w:val="left"/>
      </w:pPr>
      <w:r>
        <w:rPr>
          <w:rFonts w:eastAsia="等线" w:ascii="Arial" w:cs="Arial" w:hAnsi="Arial"/>
          <w:sz w:val="22"/>
        </w:rPr>
        <w:t>6. □【FISH】17号染色体异常</w:t>
      </w:r>
    </w:p>
    <w:p>
      <w:pPr>
        <w:spacing w:before="120" w:after="120" w:line="288" w:lineRule="auto"/>
        <w:ind w:left="1814"/>
        <w:jc w:val="left"/>
      </w:pPr>
      <w:r>
        <w:rPr>
          <w:rFonts w:eastAsia="等线" w:ascii="Arial" w:cs="Arial" w:hAnsi="Arial"/>
          <w:b w:val="true"/>
          <w:sz w:val="22"/>
        </w:rPr>
        <w:t>原发灶不明肿瘤相关项目</w:t>
      </w:r>
    </w:p>
    <w:p>
      <w:pPr>
        <w:spacing w:before="120" w:after="120" w:line="288" w:lineRule="auto"/>
        <w:ind w:left="2268" w:firstLine="0"/>
        <w:jc w:val="left"/>
      </w:pPr>
      <w:r>
        <w:rPr>
          <w:rFonts w:eastAsia="等线" w:ascii="Arial" w:cs="Arial" w:hAnsi="Arial"/>
          <w:sz w:val="22"/>
        </w:rPr>
        <w:t>1. □【PCR】肿瘤组织起源基因检测</w:t>
      </w:r>
    </w:p>
    <w:p>
      <w:pPr>
        <w:spacing w:before="120" w:after="120" w:line="288" w:lineRule="auto"/>
        <w:ind w:left="1814"/>
        <w:jc w:val="left"/>
      </w:pPr>
      <w:r>
        <w:rPr>
          <w:rFonts w:eastAsia="等线" w:ascii="Arial" w:cs="Arial" w:hAnsi="Arial"/>
          <w:b w:val="true"/>
          <w:sz w:val="22"/>
        </w:rPr>
        <w:t>泛实体瘤相关项目</w:t>
      </w:r>
    </w:p>
    <w:p>
      <w:pPr>
        <w:spacing w:before="120" w:after="120" w:line="288" w:lineRule="auto"/>
        <w:ind w:left="2268" w:firstLine="0"/>
        <w:jc w:val="left"/>
      </w:pPr>
      <w:r>
        <w:rPr>
          <w:rFonts w:eastAsia="等线" w:ascii="Arial" w:cs="Arial" w:hAnsi="Arial"/>
          <w:sz w:val="22"/>
        </w:rPr>
        <w:t>□【二代测序】组织大Panel基因检测</w:t>
      </w:r>
    </w:p>
    <w:p>
      <w:pPr>
        <w:spacing w:before="120" w:after="120" w:line="288" w:lineRule="auto"/>
        <w:ind w:left="2268" w:firstLine="0"/>
        <w:jc w:val="left"/>
      </w:pPr>
      <w:r>
        <w:rPr>
          <w:rFonts w:eastAsia="等线" w:ascii="Arial" w:cs="Arial" w:hAnsi="Arial"/>
          <w:sz w:val="22"/>
        </w:rPr>
        <w:t>□【一代测序】MSI（其他肿瘤）</w:t>
      </w:r>
    </w:p>
    <w:p>
      <w:pPr>
        <w:spacing w:before="120" w:after="120" w:line="288" w:lineRule="auto"/>
        <w:ind w:left="2268" w:firstLine="0"/>
        <w:jc w:val="left"/>
      </w:pPr>
      <w:r>
        <w:rPr>
          <w:rFonts w:eastAsia="等线" w:ascii="Arial" w:cs="Arial" w:hAnsi="Arial"/>
          <w:sz w:val="22"/>
        </w:rPr>
        <w:t>3. □【FISH】ALK基因分离</w:t>
      </w:r>
    </w:p>
    <w:p>
      <w:pPr>
        <w:spacing w:before="120" w:after="120" w:line="288" w:lineRule="auto"/>
        <w:ind w:left="2268" w:firstLine="0"/>
        <w:jc w:val="left"/>
      </w:pPr>
      <w:r>
        <w:rPr>
          <w:rFonts w:eastAsia="等线" w:ascii="Arial" w:cs="Arial" w:hAnsi="Arial"/>
          <w:sz w:val="22"/>
        </w:rPr>
        <w:t>4. □【FISH】MET基因扩增</w:t>
      </w:r>
    </w:p>
    <w:p>
      <w:pPr>
        <w:spacing w:before="120" w:after="120" w:line="288" w:lineRule="auto"/>
        <w:ind w:left="2268" w:firstLine="0"/>
        <w:jc w:val="left"/>
      </w:pPr>
      <w:r>
        <w:rPr>
          <w:rFonts w:eastAsia="等线" w:ascii="Arial" w:cs="Arial" w:hAnsi="Arial"/>
          <w:sz w:val="22"/>
        </w:rPr>
        <w:t>5. □【FISH】NTRK1基因分离</w:t>
      </w:r>
    </w:p>
    <w:p>
      <w:pPr>
        <w:spacing w:before="120" w:after="120" w:line="288" w:lineRule="auto"/>
        <w:ind w:left="2268" w:firstLine="0"/>
        <w:jc w:val="left"/>
      </w:pPr>
      <w:r>
        <w:rPr>
          <w:rFonts w:eastAsia="等线" w:ascii="Arial" w:cs="Arial" w:hAnsi="Arial"/>
          <w:sz w:val="22"/>
        </w:rPr>
        <w:t>6. □【FISH】NTRK2基因分离</w:t>
      </w:r>
    </w:p>
    <w:p>
      <w:pPr>
        <w:spacing w:before="120" w:after="120" w:line="288" w:lineRule="auto"/>
        <w:ind w:left="2268" w:firstLine="0"/>
        <w:jc w:val="left"/>
      </w:pPr>
      <w:r>
        <w:rPr>
          <w:rFonts w:eastAsia="等线" w:ascii="Arial" w:cs="Arial" w:hAnsi="Arial"/>
          <w:sz w:val="22"/>
        </w:rPr>
        <w:t>7. □【FISH】NTRK3基因分离</w:t>
      </w:r>
    </w:p>
    <w:p>
      <w:pPr>
        <w:spacing w:before="120" w:after="120" w:line="288" w:lineRule="auto"/>
        <w:ind w:left="2268" w:firstLine="0"/>
        <w:jc w:val="left"/>
      </w:pPr>
      <w:r>
        <w:rPr>
          <w:rFonts w:eastAsia="等线" w:ascii="Arial" w:cs="Arial" w:hAnsi="Arial"/>
          <w:sz w:val="22"/>
        </w:rPr>
        <w:t>8. □【FISH】RET基因分离</w:t>
      </w:r>
    </w:p>
    <w:p>
      <w:pPr>
        <w:spacing w:before="120" w:after="120" w:line="288" w:lineRule="auto"/>
        <w:ind w:left="2268" w:firstLine="0"/>
        <w:jc w:val="left"/>
      </w:pPr>
      <w:r>
        <w:rPr>
          <w:rFonts w:eastAsia="等线" w:ascii="Arial" w:cs="Arial" w:hAnsi="Arial"/>
          <w:sz w:val="22"/>
        </w:rPr>
        <w:t>9. □【FISH】HER2基因扩增</w:t>
      </w:r>
    </w:p>
    <w:p>
      <w:pPr>
        <w:spacing w:before="120" w:after="120" w:line="288" w:lineRule="auto"/>
        <w:ind w:left="2268" w:firstLine="0"/>
        <w:jc w:val="left"/>
      </w:pPr>
      <w:r>
        <w:rPr>
          <w:rFonts w:eastAsia="等线" w:ascii="Arial" w:cs="Arial" w:hAnsi="Arial"/>
          <w:sz w:val="22"/>
        </w:rPr>
        <w:t>10.□【PCR】BRAF基因</w:t>
      </w:r>
    </w:p>
    <w:p>
      <w:pPr>
        <w:spacing w:before="120" w:after="120" w:line="288" w:lineRule="auto"/>
        <w:ind w:left="1814"/>
        <w:jc w:val="left"/>
      </w:pPr>
      <w:r>
        <w:rPr>
          <w:rFonts w:eastAsia="等线" w:ascii="Arial" w:cs="Arial" w:hAnsi="Arial"/>
          <w:b w:val="true"/>
          <w:sz w:val="22"/>
        </w:rPr>
        <w:t>其他癌种项目</w:t>
      </w:r>
    </w:p>
    <w:p>
      <w:pPr>
        <w:spacing w:before="120" w:after="120" w:line="288" w:lineRule="auto"/>
        <w:ind w:left="2268" w:firstLine="0"/>
        <w:jc w:val="left"/>
      </w:pPr>
      <w:r>
        <w:rPr>
          <w:rFonts w:eastAsia="等线" w:ascii="Arial" w:cs="Arial" w:hAnsi="Arial"/>
          <w:sz w:val="22"/>
        </w:rPr>
        <w:t>1. □【FISH】CIC基因分离</w:t>
      </w:r>
    </w:p>
    <w:p>
      <w:pPr>
        <w:spacing w:before="120" w:after="120" w:line="288" w:lineRule="auto"/>
        <w:ind w:left="2268" w:firstLine="0"/>
        <w:jc w:val="left"/>
      </w:pPr>
      <w:r>
        <w:rPr>
          <w:rFonts w:eastAsia="等线" w:ascii="Arial" w:cs="Arial" w:hAnsi="Arial"/>
          <w:sz w:val="22"/>
        </w:rPr>
        <w:t>2. □【FISH】FGFR2基因分离</w:t>
      </w:r>
    </w:p>
    <w:p>
      <w:pPr>
        <w:spacing w:before="120" w:after="120" w:line="288" w:lineRule="auto"/>
        <w:ind w:left="2268" w:firstLine="0"/>
        <w:jc w:val="left"/>
      </w:pPr>
      <w:r>
        <w:rPr>
          <w:rFonts w:eastAsia="等线" w:ascii="Arial" w:cs="Arial" w:hAnsi="Arial"/>
          <w:sz w:val="22"/>
        </w:rPr>
        <w:t>3. □【FISH】MAML2基因分离</w:t>
      </w:r>
    </w:p>
    <w:p>
      <w:pPr>
        <w:spacing w:before="120" w:after="120" w:line="288" w:lineRule="auto"/>
        <w:ind w:left="2268" w:firstLine="0"/>
        <w:jc w:val="left"/>
      </w:pPr>
      <w:r>
        <w:rPr>
          <w:rFonts w:eastAsia="等线" w:ascii="Arial" w:cs="Arial" w:hAnsi="Arial"/>
          <w:sz w:val="22"/>
        </w:rPr>
        <w:t>4. □【FISH】MET基因扩增</w:t>
      </w:r>
    </w:p>
    <w:p>
      <w:pPr>
        <w:spacing w:before="120" w:after="120" w:line="288" w:lineRule="auto"/>
        <w:ind w:left="2268" w:firstLine="0"/>
        <w:jc w:val="left"/>
      </w:pPr>
      <w:r>
        <w:rPr>
          <w:rFonts w:eastAsia="等线" w:ascii="Arial" w:cs="Arial" w:hAnsi="Arial"/>
          <w:sz w:val="22"/>
        </w:rPr>
        <w:t>5. □【FISH】MYB基因分离</w:t>
      </w:r>
    </w:p>
    <w:p>
      <w:pPr>
        <w:spacing w:before="120" w:after="120" w:line="288" w:lineRule="auto"/>
        <w:ind w:left="2268" w:firstLine="0"/>
        <w:jc w:val="left"/>
      </w:pPr>
      <w:r>
        <w:rPr>
          <w:rFonts w:eastAsia="等线" w:ascii="Arial" w:cs="Arial" w:hAnsi="Arial"/>
          <w:sz w:val="22"/>
        </w:rPr>
        <w:t>6. □【FISH】NUT基因分离</w:t>
      </w:r>
    </w:p>
    <w:p>
      <w:pPr>
        <w:spacing w:before="120" w:after="120" w:line="288" w:lineRule="auto"/>
        <w:ind w:left="2268" w:firstLine="0"/>
        <w:jc w:val="left"/>
      </w:pPr>
      <w:r>
        <w:rPr>
          <w:rFonts w:eastAsia="等线" w:ascii="Arial" w:cs="Arial" w:hAnsi="Arial"/>
          <w:sz w:val="22"/>
        </w:rPr>
        <w:t>7. □【FISH】PLAG1基因分离</w:t>
      </w:r>
    </w:p>
    <w:p>
      <w:pPr>
        <w:spacing w:before="120" w:after="120" w:line="288" w:lineRule="auto"/>
        <w:ind w:left="1814"/>
        <w:jc w:val="left"/>
      </w:pPr>
      <w:r>
        <w:rPr>
          <w:rFonts w:eastAsia="等线" w:ascii="Arial" w:cs="Arial" w:hAnsi="Arial"/>
          <w:b w:val="true"/>
          <w:sz w:val="22"/>
        </w:rPr>
        <w:t>病原微生物检测</w:t>
      </w:r>
    </w:p>
    <w:p>
      <w:pPr>
        <w:spacing w:before="120" w:after="120" w:line="288" w:lineRule="auto"/>
        <w:ind w:left="2268" w:firstLine="0"/>
        <w:jc w:val="left"/>
      </w:pPr>
      <w:r>
        <w:rPr>
          <w:rFonts w:eastAsia="等线" w:ascii="Arial" w:cs="Arial" w:hAnsi="Arial"/>
          <w:sz w:val="22"/>
        </w:rPr>
        <w:t>1. □【PCR】HPV病毒分型检测</w:t>
      </w:r>
    </w:p>
    <w:p>
      <w:pPr>
        <w:spacing w:before="120" w:after="120" w:line="288" w:lineRule="auto"/>
        <w:ind w:left="2268" w:firstLine="0"/>
        <w:jc w:val="left"/>
      </w:pPr>
      <w:r>
        <w:rPr>
          <w:rFonts w:eastAsia="等线" w:ascii="Arial" w:cs="Arial" w:hAnsi="Arial"/>
          <w:sz w:val="22"/>
        </w:rPr>
        <w:t>2. □【PCR】结核分枝杆菌复合群核酸检测</w:t>
      </w:r>
    </w:p>
    <w:p>
      <w:pPr>
        <w:spacing w:before="120" w:after="120" w:line="288" w:lineRule="auto"/>
        <w:ind w:left="2268" w:firstLine="0"/>
        <w:jc w:val="left"/>
      </w:pPr>
      <w:r>
        <w:rPr>
          <w:rFonts w:eastAsia="等线" w:ascii="Arial" w:cs="Arial" w:hAnsi="Arial"/>
          <w:sz w:val="22"/>
        </w:rPr>
        <w:t>3. □【PCR】呼吸道12项病原体核酸检测</w:t>
      </w:r>
    </w:p>
    <w:p>
      <w:pPr>
        <w:pStyle w:val="3"/>
        <w:spacing w:before="300" w:after="120" w:line="288" w:lineRule="auto"/>
        <w:ind w:left="907"/>
        <w:jc w:val="left"/>
        <w:outlineLvl w:val="2"/>
      </w:pPr>
      <w:bookmarkStart w:name="heading_42" w:id="42"/>
      <w:r>
        <w:rPr>
          <w:rFonts w:eastAsia="等线" w:ascii="Arial" w:cs="Arial" w:hAnsi="Arial"/>
          <w:color w:val="3370ff"/>
          <w:sz w:val="30"/>
        </w:rPr>
        <w:t xml:space="preserve">4.7.2 </w:t>
      </w:r>
      <w:r>
        <w:rPr>
          <w:rFonts w:eastAsia="等线" w:ascii="Arial" w:cs="Arial" w:hAnsi="Arial"/>
          <w:b w:val="true"/>
          <w:sz w:val="30"/>
        </w:rPr>
        <w:t>基层医院配置</w:t>
      </w:r>
      <w:bookmarkEnd w:id="42"/>
    </w:p>
    <w:p>
      <w:pPr>
        <w:numPr>
          <w:numId w:val="136"/>
        </w:numPr>
        <w:spacing w:before="120" w:after="120" w:line="288" w:lineRule="auto"/>
        <w:ind w:left="1360"/>
        <w:jc w:val="left"/>
      </w:pPr>
      <w:r>
        <w:rPr>
          <w:rFonts w:eastAsia="等线" w:ascii="Arial" w:cs="Arial" w:hAnsi="Arial"/>
          <w:b w:val="true"/>
          <w:sz w:val="22"/>
        </w:rPr>
        <w:t>用户场景</w:t>
      </w:r>
    </w:p>
    <w:p>
      <w:pPr>
        <w:spacing w:before="120" w:after="120" w:line="288" w:lineRule="auto"/>
        <w:ind w:left="1360"/>
        <w:jc w:val="left"/>
      </w:pPr>
      <w:r>
        <w:rPr>
          <w:rFonts w:eastAsia="等线" w:ascii="Arial" w:cs="Arial" w:hAnsi="Arial"/>
          <w:color w:val="245bdb"/>
          <w:sz w:val="22"/>
        </w:rPr>
        <w:t>由中心医院管理员统一录入或审核，确保医院基础信息的完整性与准确性。</w:t>
      </w:r>
    </w:p>
    <w:p>
      <w:pPr>
        <w:numPr>
          <w:numId w:val="137"/>
        </w:numPr>
        <w:spacing w:before="120" w:after="120" w:line="288" w:lineRule="auto"/>
        <w:ind w:left="1360"/>
        <w:jc w:val="left"/>
      </w:pPr>
      <w:r>
        <w:rPr>
          <w:rFonts w:eastAsia="等线" w:ascii="Arial" w:cs="Arial" w:hAnsi="Arial"/>
          <w:b w:val="true"/>
          <w:sz w:val="22"/>
        </w:rPr>
        <w:t>功能描述</w:t>
      </w:r>
    </w:p>
    <w:p>
      <w:pPr>
        <w:spacing w:before="120" w:after="120" w:line="288" w:lineRule="auto"/>
        <w:ind w:left="1360"/>
        <w:jc w:val="left"/>
      </w:pPr>
      <w:r>
        <w:rPr>
          <w:rFonts w:eastAsia="等线" w:ascii="Arial" w:cs="Arial" w:hAnsi="Arial"/>
          <w:color w:val="245bdb"/>
          <w:sz w:val="22"/>
        </w:rPr>
        <w:t>基层医院的信息录入与管理，包括医院基本信息、所在地区、省市区县三级行政结构、医院简介、地址、联系人等内容，后续所有检测申请均需关联对应医院。该配置功能也支持后期医院信息的修改与维护。</w:t>
      </w:r>
    </w:p>
    <w:p>
      <w:pPr>
        <w:numPr>
          <w:numId w:val="138"/>
        </w:numPr>
        <w:spacing w:before="120" w:after="120" w:line="288" w:lineRule="auto"/>
        <w:ind w:left="1360"/>
        <w:jc w:val="left"/>
      </w:pPr>
      <w:r>
        <w:rPr>
          <w:rFonts w:eastAsia="等线" w:ascii="Arial" w:cs="Arial" w:hAnsi="Arial"/>
          <w:b w:val="true"/>
          <w:sz w:val="22"/>
        </w:rPr>
        <w:t>需求说明</w:t>
      </w:r>
    </w:p>
    <w:p>
      <w:pPr>
        <w:spacing w:before="120" w:after="120" w:line="288" w:lineRule="auto"/>
        <w:ind w:left="1360"/>
        <w:jc w:val="left"/>
      </w:pPr>
      <w:r>
        <w:rPr>
          <w:rFonts w:eastAsia="等线" w:ascii="Arial" w:cs="Arial" w:hAnsi="Arial"/>
          <w:color w:val="245bdb"/>
          <w:sz w:val="22"/>
        </w:rPr>
        <w:t>医院基本信息字段配置</w:t>
      </w:r>
    </w:p>
    <w:p>
      <w:pPr>
        <w:spacing w:before="120" w:after="120" w:line="288" w:lineRule="auto"/>
        <w:ind w:left="1814"/>
      </w:pPr>
      <w:r>
        <w:object>
          <v:shape id="_x0000_i1028" style="width:414pt;height:182pt;mso-width-percent:0;mso-height-percent:0;mso-width-percent:0;mso-height-percent:0" type="#_x0000_t75" o:ole="">
            <v:imagedata r:id="rId18" o:title=""/>
          </v:shape>
          <o:OLEObject DrawAspect="Icon" ObjectID="_1718471222" ProgID="Excel.Sheet.12" ShapeID="_x0000_i1028" Type="Embed" r:id="rId17"/>
        </w:object>
      </w:r>
    </w:p>
    <w:p>
      <w:pPr>
        <w:spacing w:after="120"/>
        <w:ind w:left="1814"/>
        <w:jc w:val="center"/>
      </w:pPr>
      <w:r>
        <w:rPr>
          <w:rFonts w:eastAsia="等线" w:ascii="Arial" w:cs="Arial" w:hAnsi="Arial"/>
          <w:b w:val="true"/>
          <w:sz w:val="22"/>
        </w:rPr>
        <w:t>点击图片可查看完整电子表格</w:t>
      </w:r>
    </w:p>
    <w:p>
      <w:pPr>
        <w:spacing w:before="120" w:after="120" w:line="288" w:lineRule="auto"/>
        <w:ind w:left="1360" w:firstLine="0"/>
        <w:jc w:val="left"/>
      </w:pPr>
      <w:r>
        <w:rPr>
          <w:rFonts w:eastAsia="等线" w:ascii="Arial" w:cs="Arial" w:hAnsi="Arial"/>
          <w:color w:val="245bdb"/>
          <w:sz w:val="22"/>
        </w:rPr>
        <w:t xml:space="preserve">除了医院基本信息，还可以添加 </w:t>
      </w:r>
      <w:r>
        <w:rPr>
          <w:rFonts w:eastAsia="等线" w:ascii="Arial" w:cs="Arial" w:hAnsi="Arial"/>
          <w:b w:val="true"/>
          <w:color w:val="245bdb"/>
          <w:sz w:val="22"/>
        </w:rPr>
        <w:t>联系人信息（支持多个联系人）</w:t>
      </w:r>
    </w:p>
    <w:p>
      <w:pPr>
        <w:spacing w:before="120" w:after="120" w:line="288" w:lineRule="auto"/>
        <w:ind w:left="1814"/>
      </w:pPr>
      <w:r>
        <w:object>
          <v:shape id="_x0000_i1029" style="width:414pt;height:109pt;mso-width-percent:0;mso-height-percent:0;mso-width-percent:0;mso-height-percent:0" type="#_x0000_t75" o:ole="">
            <v:imagedata r:id="rId20" o:title=""/>
          </v:shape>
          <o:OLEObject DrawAspect="Icon" ObjectID="_1718471223" ProgID="Excel.Sheet.12" ShapeID="_x0000_i1029" Type="Embed" r:id="rId19"/>
        </w:object>
      </w:r>
    </w:p>
    <w:p>
      <w:pPr>
        <w:spacing w:after="120"/>
        <w:ind w:left="1814"/>
        <w:jc w:val="center"/>
      </w:pPr>
      <w:r>
        <w:rPr>
          <w:rFonts w:eastAsia="等线" w:ascii="Arial" w:cs="Arial" w:hAnsi="Arial"/>
          <w:b w:val="true"/>
          <w:sz w:val="22"/>
        </w:rPr>
        <w:t>点击图片可查看完整电子表格</w:t>
      </w:r>
    </w:p>
    <w:p>
      <w:pPr>
        <w:spacing w:before="120" w:after="120" w:line="288" w:lineRule="auto"/>
        <w:ind w:left="1814"/>
        <w:jc w:val="left"/>
      </w:pPr>
    </w:p>
    <w:p>
      <w:pPr>
        <w:spacing w:before="120" w:after="120" w:line="288" w:lineRule="auto"/>
        <w:ind w:left="1360"/>
        <w:jc w:val="left"/>
      </w:pPr>
      <w:r>
        <w:rPr>
          <w:rFonts w:eastAsia="等线" w:ascii="Arial" w:cs="Arial" w:hAnsi="Arial"/>
          <w:color w:val="245bdb"/>
          <w:sz w:val="22"/>
        </w:rPr>
        <w:t>有中心医院管理员录入，或者通过导入添加，系统也会初始化一些医院数据，支持医院列表分页、按名称/地区模糊搜索。基层医院列表右上角有新增按钮，弹出表单填写，列表内都有编辑按钮，点击同样弹出表单填写，支持手动停用某医院（停用后该医院医生不可提交申请单）。</w:t>
      </w:r>
    </w:p>
    <w:p>
      <w:pPr>
        <w:spacing w:before="120" w:after="120" w:line="288" w:lineRule="auto"/>
        <w:ind w:left="1360"/>
        <w:jc w:val="left"/>
      </w:pPr>
      <w:r>
        <w:rPr>
          <w:rFonts w:eastAsia="等线" w:ascii="Arial" w:cs="Arial" w:hAnsi="Arial"/>
          <w:b w:val="true"/>
          <w:color w:val="245bdb"/>
          <w:sz w:val="22"/>
        </w:rPr>
        <w:t>医院编号需唯一，</w:t>
      </w:r>
      <w:r>
        <w:rPr>
          <w:rFonts w:eastAsia="等线" w:ascii="Arial" w:cs="Arial" w:hAnsi="Arial"/>
          <w:color w:val="245bdb"/>
          <w:sz w:val="22"/>
        </w:rPr>
        <w:t>不可重复</w:t>
      </w:r>
    </w:p>
    <w:p>
      <w:pPr>
        <w:pStyle w:val="3"/>
        <w:spacing w:before="300" w:after="120" w:line="288" w:lineRule="auto"/>
        <w:ind w:left="907"/>
        <w:jc w:val="left"/>
        <w:outlineLvl w:val="2"/>
      </w:pPr>
      <w:bookmarkStart w:name="heading_43" w:id="43"/>
      <w:r>
        <w:rPr>
          <w:rFonts w:eastAsia="等线" w:ascii="Arial" w:cs="Arial" w:hAnsi="Arial"/>
          <w:color w:val="3370ff"/>
          <w:sz w:val="30"/>
        </w:rPr>
        <w:t xml:space="preserve">4.7.3 </w:t>
      </w:r>
      <w:r>
        <w:rPr>
          <w:rFonts w:eastAsia="等线" w:ascii="Arial" w:cs="Arial" w:hAnsi="Arial"/>
          <w:b w:val="true"/>
          <w:sz w:val="30"/>
        </w:rPr>
        <w:t>用户管理</w:t>
      </w:r>
      <w:bookmarkEnd w:id="43"/>
    </w:p>
    <w:p>
      <w:pPr>
        <w:numPr>
          <w:numId w:val="139"/>
        </w:numPr>
        <w:spacing w:before="120" w:after="120" w:line="288" w:lineRule="auto"/>
        <w:ind w:left="1360"/>
        <w:jc w:val="left"/>
      </w:pPr>
      <w:r>
        <w:rPr>
          <w:rFonts w:eastAsia="等线" w:ascii="Arial" w:cs="Arial" w:hAnsi="Arial"/>
          <w:b w:val="true"/>
          <w:sz w:val="22"/>
        </w:rPr>
        <w:t>用户场景</w:t>
      </w:r>
    </w:p>
    <w:p>
      <w:pPr>
        <w:spacing w:before="120" w:after="120" w:line="288" w:lineRule="auto"/>
        <w:ind w:left="1360"/>
        <w:jc w:val="left"/>
      </w:pPr>
      <w:r>
        <w:rPr>
          <w:rFonts w:eastAsia="等线" w:ascii="Arial" w:cs="Arial" w:hAnsi="Arial"/>
          <w:color w:val="245bdb"/>
          <w:sz w:val="22"/>
        </w:rPr>
        <w:t>平台用户来自中心医院、基层医院及平台方自身。为了控制权限与操作边界，需要根据用户类型（中心医院用户、基层医院用户、平台管理员）进行分级管理。平台管理员有权新建、修改和禁用任意账户；中心医院管理员可管理本机构用户；基层医院用户仅可查看自己的基本信息。</w:t>
      </w:r>
    </w:p>
    <w:p>
      <w:pPr>
        <w:numPr>
          <w:numId w:val="140"/>
        </w:numPr>
        <w:spacing w:before="120" w:after="120" w:line="288" w:lineRule="auto"/>
        <w:ind w:left="1360"/>
        <w:jc w:val="left"/>
      </w:pPr>
      <w:r>
        <w:rPr>
          <w:rFonts w:eastAsia="等线" w:ascii="Arial" w:cs="Arial" w:hAnsi="Arial"/>
          <w:b w:val="true"/>
          <w:sz w:val="22"/>
        </w:rPr>
        <w:t>功能描述</w:t>
      </w:r>
    </w:p>
    <w:p>
      <w:pPr>
        <w:spacing w:before="120" w:after="120" w:line="288" w:lineRule="auto"/>
        <w:ind w:left="1360"/>
        <w:jc w:val="left"/>
      </w:pPr>
      <w:r>
        <w:rPr>
          <w:rFonts w:eastAsia="等线" w:ascii="Arial" w:cs="Arial" w:hAnsi="Arial"/>
          <w:color w:val="245bdb"/>
          <w:sz w:val="22"/>
        </w:rPr>
        <w:t>支持用户信息的新增、编辑、禁用、重置密码等常见管理操作。支持按角色类型、所属机构进行筛选；支持设置登录权限与数据访问范围。</w:t>
      </w:r>
    </w:p>
    <w:p>
      <w:pPr>
        <w:numPr>
          <w:numId w:val="141"/>
        </w:numPr>
        <w:spacing w:before="120" w:after="120" w:line="288" w:lineRule="auto"/>
        <w:ind w:left="1360"/>
        <w:jc w:val="left"/>
      </w:pPr>
      <w:r>
        <w:rPr>
          <w:rFonts w:eastAsia="等线" w:ascii="Arial" w:cs="Arial" w:hAnsi="Arial"/>
          <w:b w:val="true"/>
          <w:sz w:val="22"/>
        </w:rPr>
        <w:t>需求说明</w:t>
      </w:r>
    </w:p>
    <w:p>
      <w:pPr>
        <w:numPr>
          <w:numId w:val="142"/>
        </w:numPr>
        <w:spacing w:before="120" w:after="120" w:line="288" w:lineRule="auto"/>
        <w:ind w:left="1360"/>
        <w:jc w:val="left"/>
      </w:pPr>
      <w:r>
        <w:rPr>
          <w:rFonts w:eastAsia="等线" w:ascii="Arial" w:cs="Arial" w:hAnsi="Arial"/>
          <w:sz w:val="22"/>
        </w:rPr>
        <w:t>用户基本信息字段</w:t>
      </w:r>
    </w:p>
    <w:p>
      <w:pPr>
        <w:spacing w:before="120" w:after="120" w:line="288" w:lineRule="auto"/>
        <w:ind w:left="1814"/>
      </w:pPr>
      <w:r>
        <w:object>
          <v:shape id="_x0000_i1030" style="width:414pt;height:190pt;mso-width-percent:0;mso-height-percent:0;mso-width-percent:0;mso-height-percent:0" type="#_x0000_t75" o:ole="">
            <v:imagedata r:id="rId22" o:title=""/>
          </v:shape>
          <o:OLEObject DrawAspect="Icon" ObjectID="_1718471224" ProgID="Excel.Sheet.12" ShapeID="_x0000_i1030" Type="Embed" r:id="rId21"/>
        </w:object>
      </w:r>
    </w:p>
    <w:p>
      <w:pPr>
        <w:spacing w:after="120"/>
        <w:ind w:left="1814"/>
        <w:jc w:val="center"/>
      </w:pPr>
      <w:r>
        <w:rPr>
          <w:rFonts w:eastAsia="等线" w:ascii="Arial" w:cs="Arial" w:hAnsi="Arial"/>
          <w:b w:val="true"/>
          <w:sz w:val="22"/>
        </w:rPr>
        <w:t>点击图片可查看完整电子表格</w:t>
      </w:r>
    </w:p>
    <w:p>
      <w:pPr>
        <w:numPr>
          <w:numId w:val="143"/>
        </w:numPr>
        <w:spacing w:before="120" w:after="120" w:line="288" w:lineRule="auto"/>
        <w:ind w:left="1360"/>
        <w:jc w:val="left"/>
      </w:pPr>
      <w:r>
        <w:rPr>
          <w:rFonts w:eastAsia="等线" w:ascii="Arial" w:cs="Arial" w:hAnsi="Arial"/>
          <w:sz w:val="22"/>
        </w:rPr>
        <w:t>操作功能</w:t>
      </w:r>
    </w:p>
    <w:p>
      <w:pPr>
        <w:spacing w:before="120" w:after="120" w:line="288" w:lineRule="auto"/>
        <w:ind w:left="1814"/>
        <w:jc w:val="left"/>
      </w:pPr>
      <w:r>
        <w:rPr>
          <w:rFonts w:eastAsia="等线" w:ascii="Arial" w:cs="Arial" w:hAnsi="Arial"/>
          <w:b w:val="true"/>
          <w:color w:val="245bdb"/>
          <w:sz w:val="22"/>
        </w:rPr>
        <w:t>新增用户</w:t>
      </w:r>
      <w:r>
        <w:rPr>
          <w:rFonts w:eastAsia="等线" w:ascii="Arial" w:cs="Arial" w:hAnsi="Arial"/>
          <w:color w:val="245bdb"/>
          <w:sz w:val="22"/>
        </w:rPr>
        <w:t>：平台管理员或中心医院管理员可新建账户（设置初始密码）</w:t>
      </w:r>
    </w:p>
    <w:p>
      <w:pPr>
        <w:spacing w:before="120" w:after="120" w:line="288" w:lineRule="auto"/>
        <w:ind w:left="1814"/>
        <w:jc w:val="left"/>
      </w:pPr>
      <w:r>
        <w:rPr>
          <w:rFonts w:eastAsia="等线" w:ascii="Arial" w:cs="Arial" w:hAnsi="Arial"/>
          <w:b w:val="true"/>
          <w:color w:val="245bdb"/>
          <w:sz w:val="22"/>
        </w:rPr>
        <w:t>编辑用户</w:t>
      </w:r>
      <w:r>
        <w:rPr>
          <w:rFonts w:eastAsia="等线" w:ascii="Arial" w:cs="Arial" w:hAnsi="Arial"/>
          <w:color w:val="245bdb"/>
          <w:sz w:val="22"/>
        </w:rPr>
        <w:t>：可修改姓名、手机号、所属机构、状态等信息</w:t>
      </w:r>
    </w:p>
    <w:p>
      <w:pPr>
        <w:spacing w:before="120" w:after="120" w:line="288" w:lineRule="auto"/>
        <w:ind w:left="1814"/>
        <w:jc w:val="left"/>
      </w:pPr>
      <w:r>
        <w:rPr>
          <w:rFonts w:eastAsia="等线" w:ascii="Arial" w:cs="Arial" w:hAnsi="Arial"/>
          <w:b w:val="true"/>
          <w:color w:val="245bdb"/>
          <w:sz w:val="22"/>
        </w:rPr>
        <w:t>重置密码</w:t>
      </w:r>
      <w:r>
        <w:rPr>
          <w:rFonts w:eastAsia="等线" w:ascii="Arial" w:cs="Arial" w:hAnsi="Arial"/>
          <w:color w:val="245bdb"/>
          <w:sz w:val="22"/>
        </w:rPr>
        <w:t>：管理员可为用户重置密码</w:t>
      </w:r>
    </w:p>
    <w:p>
      <w:pPr>
        <w:spacing w:before="120" w:after="120" w:line="288" w:lineRule="auto"/>
        <w:ind w:left="1814"/>
        <w:jc w:val="left"/>
      </w:pPr>
      <w:r>
        <w:rPr>
          <w:rFonts w:eastAsia="等线" w:ascii="Arial" w:cs="Arial" w:hAnsi="Arial"/>
          <w:b w:val="true"/>
          <w:color w:val="245bdb"/>
          <w:sz w:val="22"/>
        </w:rPr>
        <w:t>禁用/启用用户</w:t>
      </w:r>
      <w:r>
        <w:rPr>
          <w:rFonts w:eastAsia="等线" w:ascii="Arial" w:cs="Arial" w:hAnsi="Arial"/>
          <w:color w:val="245bdb"/>
          <w:sz w:val="22"/>
        </w:rPr>
        <w:t>：用于限制异常账号登录</w:t>
      </w:r>
    </w:p>
    <w:p>
      <w:pPr>
        <w:spacing w:before="120" w:after="120" w:line="288" w:lineRule="auto"/>
        <w:ind w:left="1814"/>
        <w:jc w:val="left"/>
      </w:pPr>
      <w:r>
        <w:rPr>
          <w:rFonts w:eastAsia="等线" w:ascii="Arial" w:cs="Arial" w:hAnsi="Arial"/>
          <w:b w:val="true"/>
          <w:color w:val="245bdb"/>
          <w:sz w:val="22"/>
        </w:rPr>
        <w:t>角色权限预设</w:t>
      </w:r>
      <w:r>
        <w:rPr>
          <w:rFonts w:eastAsia="等线" w:ascii="Arial" w:cs="Arial" w:hAnsi="Arial"/>
          <w:color w:val="245bdb"/>
          <w:sz w:val="22"/>
        </w:rPr>
        <w:t>：</w:t>
      </w:r>
    </w:p>
    <w:p>
      <w:pPr>
        <w:numPr>
          <w:numId w:val="144"/>
        </w:numPr>
        <w:spacing w:before="120" w:after="120" w:line="288" w:lineRule="auto"/>
        <w:ind w:left="1814"/>
        <w:jc w:val="left"/>
      </w:pPr>
      <w:r>
        <w:rPr>
          <w:rFonts w:eastAsia="等线" w:ascii="Arial" w:cs="Arial" w:hAnsi="Arial"/>
          <w:color w:val="245bdb"/>
          <w:sz w:val="22"/>
        </w:rPr>
        <w:t>中心医院用户：审核申请单，上传报告，查看数据</w:t>
      </w:r>
    </w:p>
    <w:p>
      <w:pPr>
        <w:numPr>
          <w:numId w:val="145"/>
        </w:numPr>
        <w:spacing w:before="120" w:after="120" w:line="288" w:lineRule="auto"/>
        <w:ind w:left="1814"/>
        <w:jc w:val="left"/>
      </w:pPr>
      <w:r>
        <w:rPr>
          <w:rFonts w:eastAsia="等线" w:ascii="Arial" w:cs="Arial" w:hAnsi="Arial"/>
          <w:color w:val="245bdb"/>
          <w:sz w:val="22"/>
        </w:rPr>
        <w:t>基层医院用户：创建申请单，接收消息，下载报告</w:t>
      </w:r>
    </w:p>
    <w:p>
      <w:pPr>
        <w:numPr>
          <w:numId w:val="146"/>
        </w:numPr>
        <w:spacing w:before="120" w:after="120" w:line="288" w:lineRule="auto"/>
        <w:ind w:left="1814"/>
        <w:jc w:val="left"/>
      </w:pPr>
      <w:r>
        <w:rPr>
          <w:rFonts w:eastAsia="等线" w:ascii="Arial" w:cs="Arial" w:hAnsi="Arial"/>
          <w:color w:val="245bdb"/>
          <w:sz w:val="22"/>
        </w:rPr>
        <w:t>平台管理员：查看全量数据，管理医院、用户、字典、配置等后台内容</w:t>
      </w:r>
    </w:p>
    <w:p>
      <w:pPr>
        <w:spacing w:before="120" w:after="120" w:line="288" w:lineRule="auto"/>
        <w:ind w:left="1360"/>
        <w:jc w:val="left"/>
      </w:pPr>
    </w:p>
    <w:p>
      <w:pPr>
        <w:spacing w:before="120" w:after="120" w:line="288" w:lineRule="auto"/>
        <w:ind w:left="1360"/>
        <w:jc w:val="left"/>
      </w:pPr>
      <w:r>
        <w:rPr>
          <w:rFonts w:eastAsia="等线" w:ascii="Arial" w:cs="Arial" w:hAnsi="Arial"/>
          <w:color w:val="245bdb"/>
          <w:sz w:val="22"/>
        </w:rPr>
        <w:t>用户列表，展示基本信息、状态、角色、所属机构，右侧会有操作按钮：新增 / 编辑 / 禁用 / 重置密码，新增或编辑用户信息时使用弹窗表单。</w:t>
      </w:r>
    </w:p>
    <w:p>
      <w:pPr>
        <w:spacing w:before="120" w:after="120" w:line="288" w:lineRule="auto"/>
        <w:ind w:left="907" w:firstLine="420"/>
        <w:jc w:val="left"/>
      </w:pPr>
    </w:p>
    <w:p>
      <w:pPr>
        <w:pStyle w:val="3"/>
        <w:spacing w:before="300" w:after="120" w:line="288" w:lineRule="auto"/>
        <w:ind w:left="907"/>
        <w:jc w:val="left"/>
        <w:outlineLvl w:val="2"/>
      </w:pPr>
      <w:bookmarkStart w:name="heading_44" w:id="44"/>
      <w:r>
        <w:rPr>
          <w:rFonts w:eastAsia="等线" w:ascii="Arial" w:cs="Arial" w:hAnsi="Arial"/>
          <w:color w:val="3370ff"/>
          <w:sz w:val="30"/>
        </w:rPr>
        <w:t xml:space="preserve">4.7.4 </w:t>
      </w:r>
      <w:r>
        <w:rPr>
          <w:rFonts w:eastAsia="等线" w:ascii="Arial" w:cs="Arial" w:hAnsi="Arial"/>
          <w:b w:val="true"/>
          <w:sz w:val="30"/>
        </w:rPr>
        <w:t>字典管理</w:t>
      </w:r>
      <w:bookmarkEnd w:id="44"/>
    </w:p>
    <w:p>
      <w:pPr>
        <w:numPr>
          <w:numId w:val="147"/>
        </w:numPr>
        <w:spacing w:before="120" w:after="120" w:line="288" w:lineRule="auto"/>
        <w:ind w:left="1360"/>
        <w:jc w:val="left"/>
      </w:pPr>
      <w:r>
        <w:rPr>
          <w:rFonts w:eastAsia="等线" w:ascii="Arial" w:cs="Arial" w:hAnsi="Arial"/>
          <w:b w:val="true"/>
          <w:sz w:val="22"/>
        </w:rPr>
        <w:t>用户场景</w:t>
      </w:r>
    </w:p>
    <w:p>
      <w:pPr>
        <w:spacing w:before="120" w:after="120" w:line="288" w:lineRule="auto"/>
        <w:ind w:left="1360"/>
        <w:jc w:val="left"/>
      </w:pPr>
      <w:r>
        <w:rPr>
          <w:rFonts w:eastAsia="等线" w:ascii="Arial" w:cs="Arial" w:hAnsi="Arial"/>
          <w:color w:val="245bdb"/>
          <w:sz w:val="22"/>
        </w:rPr>
        <w:t>表单中经常出现“性别”、“样本类型”、“报告状态”等选项项，且这些选项需要在多个模块间复用并保持统一。为避免硬编码与手动维护，系统需提供统一的字典项管理功能，由平台管理员维护，业务模块引用。</w:t>
      </w:r>
    </w:p>
    <w:p>
      <w:pPr>
        <w:numPr>
          <w:numId w:val="148"/>
        </w:numPr>
        <w:spacing w:before="120" w:after="120" w:line="288" w:lineRule="auto"/>
        <w:ind w:left="1360"/>
        <w:jc w:val="left"/>
      </w:pPr>
      <w:r>
        <w:rPr>
          <w:rFonts w:eastAsia="等线" w:ascii="Arial" w:cs="Arial" w:hAnsi="Arial"/>
          <w:b w:val="true"/>
          <w:sz w:val="22"/>
        </w:rPr>
        <w:t>功能描述</w:t>
      </w:r>
    </w:p>
    <w:p>
      <w:pPr>
        <w:spacing w:before="120" w:after="120" w:line="288" w:lineRule="auto"/>
        <w:ind w:left="1360"/>
        <w:jc w:val="left"/>
      </w:pPr>
      <w:r>
        <w:rPr>
          <w:rFonts w:eastAsia="等线" w:ascii="Arial" w:cs="Arial" w:hAnsi="Arial"/>
          <w:color w:val="245bdb"/>
          <w:sz w:val="22"/>
        </w:rPr>
        <w:t>系统支持创建字典分类（如性别、检测类型、样本来源等），并在分类下配置字典项。字典项包括编码、显示名称、是否启用等字段，支持排序。前端表单可通过分类Key动态获取字典项用于下拉选择。</w:t>
      </w:r>
    </w:p>
    <w:p>
      <w:pPr>
        <w:numPr>
          <w:numId w:val="149"/>
        </w:numPr>
        <w:spacing w:before="120" w:after="120" w:line="288" w:lineRule="auto"/>
        <w:ind w:left="1360"/>
        <w:jc w:val="left"/>
      </w:pPr>
      <w:r>
        <w:rPr>
          <w:rFonts w:eastAsia="等线" w:ascii="Arial" w:cs="Arial" w:hAnsi="Arial"/>
          <w:b w:val="true"/>
          <w:sz w:val="22"/>
        </w:rPr>
        <w:t>需求说明</w:t>
      </w:r>
    </w:p>
    <w:p>
      <w:pPr>
        <w:numPr>
          <w:numId w:val="150"/>
        </w:numPr>
        <w:spacing w:before="120" w:after="120" w:line="288" w:lineRule="auto"/>
        <w:ind w:left="1360"/>
        <w:jc w:val="left"/>
      </w:pPr>
      <w:r>
        <w:rPr>
          <w:rFonts w:eastAsia="等线" w:ascii="Arial" w:cs="Arial" w:hAnsi="Arial"/>
          <w:sz w:val="22"/>
        </w:rPr>
        <w:t>字典分类（Dictionary Type）</w:t>
      </w:r>
    </w:p>
    <w:p>
      <w:pPr>
        <w:spacing w:before="120" w:after="120" w:line="288" w:lineRule="auto"/>
        <w:ind w:left="1814"/>
      </w:pPr>
      <w:r>
        <w:object>
          <v:shape id="_x0000_i1031" style="width:414pt;height:117pt;mso-width-percent:0;mso-height-percent:0;mso-width-percent:0;mso-height-percent:0" type="#_x0000_t75" o:ole="">
            <v:imagedata r:id="rId24" o:title=""/>
          </v:shape>
          <o:OLEObject DrawAspect="Icon" ObjectID="_1718471225" ProgID="Excel.Sheet.12" ShapeID="_x0000_i1031" Type="Embed" r:id="rId23"/>
        </w:object>
      </w:r>
    </w:p>
    <w:p>
      <w:pPr>
        <w:spacing w:after="120"/>
        <w:ind w:left="1814"/>
        <w:jc w:val="center"/>
      </w:pPr>
      <w:r>
        <w:rPr>
          <w:rFonts w:eastAsia="等线" w:ascii="Arial" w:cs="Arial" w:hAnsi="Arial"/>
          <w:b w:val="true"/>
          <w:sz w:val="22"/>
        </w:rPr>
        <w:t>点击图片可查看完整电子表格</w:t>
      </w:r>
    </w:p>
    <w:p>
      <w:pPr>
        <w:numPr>
          <w:numId w:val="151"/>
        </w:numPr>
        <w:spacing w:before="120" w:after="120" w:line="288" w:lineRule="auto"/>
        <w:ind w:left="1360"/>
        <w:jc w:val="left"/>
      </w:pPr>
      <w:r>
        <w:rPr>
          <w:rFonts w:eastAsia="等线" w:ascii="Arial" w:cs="Arial" w:hAnsi="Arial"/>
          <w:sz w:val="22"/>
        </w:rPr>
        <w:t>字典项（Dictionary Item）</w:t>
      </w:r>
    </w:p>
    <w:p>
      <w:pPr>
        <w:spacing w:before="120" w:after="120" w:line="288" w:lineRule="auto"/>
        <w:ind w:left="1814"/>
      </w:pPr>
      <w:r>
        <w:object>
          <v:shape id="_x0000_i1032" style="width:414pt;height:128pt;mso-width-percent:0;mso-height-percent:0;mso-width-percent:0;mso-height-percent:0" type="#_x0000_t75" o:ole="">
            <v:imagedata r:id="rId26" o:title=""/>
          </v:shape>
          <o:OLEObject DrawAspect="Icon" ObjectID="_1718471226" ProgID="Excel.Sheet.12" ShapeID="_x0000_i1032" Type="Embed" r:id="rId25"/>
        </w:object>
      </w:r>
    </w:p>
    <w:p>
      <w:pPr>
        <w:spacing w:after="120"/>
        <w:ind w:left="1814"/>
        <w:jc w:val="center"/>
      </w:pPr>
      <w:r>
        <w:rPr>
          <w:rFonts w:eastAsia="等线" w:ascii="Arial" w:cs="Arial" w:hAnsi="Arial"/>
          <w:b w:val="true"/>
          <w:sz w:val="22"/>
        </w:rPr>
        <w:t>点击图片可查看完整电子表格</w:t>
      </w:r>
    </w:p>
    <w:p>
      <w:pPr>
        <w:spacing w:before="120" w:after="120" w:line="288" w:lineRule="auto"/>
        <w:ind w:left="1360"/>
        <w:jc w:val="left"/>
      </w:pPr>
      <w:r>
        <w:rPr>
          <w:rFonts w:eastAsia="等线" w:ascii="Arial" w:cs="Arial" w:hAnsi="Arial"/>
          <w:color w:val="245bdb"/>
          <w:sz w:val="22"/>
        </w:rPr>
        <w:t>平台管理员可新建分类并命名，在分类下添加项内容，支持修改、排序、停用等。</w:t>
      </w:r>
    </w:p>
    <w:p>
      <w:pPr>
        <w:spacing w:before="120" w:after="120" w:line="288" w:lineRule="auto"/>
        <w:ind w:left="0"/>
        <w:jc w:val="left"/>
      </w:pPr>
    </w:p>
    <w:p>
      <w:pPr>
        <w:spacing w:before="120" w:after="120" w:line="288" w:lineRule="auto"/>
        <w:ind w:left="0"/>
        <w:jc w:val="left"/>
      </w:pPr>
    </w:p>
    <w:p>
      <w:pPr>
        <w:spacing w:before="120" w:after="120" w:line="288" w:lineRule="auto"/>
        <w:ind w:left="0"/>
        <w:jc w:val="left"/>
      </w:pPr>
    </w:p>
    <w:p>
      <w:pPr>
        <w:pBdr>
          <w:bottom w:val="single" w:color="dee0e3"/>
          <w:between w:val="single" w:color="dee0e3"/>
        </w:pBdr>
        <w:spacing w:before="120" w:after="120" w:line="288" w:lineRule="auto"/>
        <w:ind w:left="0"/>
      </w:pPr>
    </w:p>
    <w:p>
      <w:pPr>
        <w:pStyle w:val="2"/>
        <w:spacing w:before="320" w:after="120" w:line="288" w:lineRule="auto"/>
        <w:ind w:left="0"/>
        <w:jc w:val="left"/>
        <w:outlineLvl w:val="1"/>
      </w:pPr>
      <w:bookmarkStart w:name="heading_45" w:id="45"/>
      <w:r>
        <w:rPr>
          <w:rFonts w:eastAsia="等线" w:ascii="Arial" w:cs="Arial" w:hAnsi="Arial"/>
          <w:b w:val="true"/>
          <w:sz w:val="32"/>
        </w:rPr>
        <w:t>额外文本</w:t>
      </w:r>
      <w:bookmarkEnd w:id="45"/>
    </w:p>
    <w:tbl>
      <w:tblPr>
        <w:tblW w:w="0" w:type="auto"/>
        <w:tblInd w:w="453" w:type="dxa"/>
        <w:tblBorders>
          <w:top w:val="single" w:color="fed4a4"/>
          <w:left w:val="single" w:color="fed4a4"/>
          <w:bottom w:val="single" w:color="fed4a4"/>
          <w:right w:val="single" w:color="fed4a4"/>
          <w:insideH w:val="single" w:color="fed4a4"/>
          <w:insideV w:val="single" w:color="fed4a4"/>
        </w:tblBorders>
        <w:tblLayout w:type="fixed"/>
      </w:tblPr>
      <w:tblGrid>
        <w:gridCol w:w="7827"/>
      </w:tblGrid>
      <w:tr>
        <w:tc>
          <w:tcPr>
            <w:tcW w:w="7827" w:type="dxa"/>
            <w:shd w:color="auto" w:val="clear" w:fill="fff5eb"/>
            <w:tcMar>
              <w:top w:type="dxa" w:w="60"/>
              <w:left w:type="dxa" w:w="120"/>
              <w:bottom w:type="dxa" w:w="30"/>
              <w:right w:type="dxa" w:w="120"/>
            </w:tcMar>
          </w:tcPr>
          <w:p>
            <w:pPr>
              <w:spacing w:before="120" w:after="120" w:line="288" w:lineRule="auto"/>
              <w:ind w:left="0"/>
              <w:jc w:val="left"/>
            </w:pPr>
            <w:r>
              <w:rPr>
                <w:rFonts w:eastAsia="等线" w:ascii="Arial" w:cs="Arial" w:hAnsi="Arial"/>
                <w:sz w:val="22"/>
                <w:shd w:fill="ffe928"/>
              </w:rPr>
              <w:t>基层医院申请（每个病例一个申请单，） → 知情同意书签署（一阶段：先上传图像，后续：扫码在手机上签署，有的时候基因检测申请单临床医师和患者的签字不完整） → 中心医院审核（</w:t>
            </w:r>
            <w:r>
              <w:rPr>
                <w:rFonts w:eastAsia="等线" w:ascii="Arial" w:cs="Arial" w:hAnsi="Arial"/>
                <w:color w:val="d83931"/>
                <w:sz w:val="22"/>
                <w:shd w:fill="ffe928"/>
              </w:rPr>
              <w:t>检查基础信息</w:t>
            </w:r>
            <w:r>
              <w:rPr>
                <w:rFonts w:eastAsia="等线" w:ascii="Arial" w:cs="Arial" w:hAnsi="Arial"/>
                <w:sz w:val="22"/>
                <w:shd w:fill="ffe928"/>
              </w:rPr>
              <w:t>） → 当地收费（收费方式：自费/医保/</w:t>
            </w:r>
            <w:r>
              <w:rPr>
                <w:rFonts w:eastAsia="等线" w:ascii="Arial" w:cs="Arial" w:hAnsi="Arial"/>
                <w:color w:val="d83931"/>
                <w:sz w:val="22"/>
                <w:shd w:fill="ffe928"/>
              </w:rPr>
              <w:t>其他</w:t>
            </w:r>
            <w:r>
              <w:rPr>
                <w:rFonts w:eastAsia="等线" w:ascii="Arial" w:cs="Arial" w:hAnsi="Arial"/>
                <w:sz w:val="22"/>
                <w:shd w:fill="ffe928"/>
              </w:rPr>
              <w:t>） → 拍照（标本、物流单、物流：顺丰/邮政/第三方实验室人工寄送）→ 样本物流追踪 → 确认收到（切片编号） → 样本质控（组织质控（</w:t>
            </w:r>
            <w:r>
              <w:rPr>
                <w:rFonts w:eastAsia="等线" w:ascii="Arial" w:cs="Arial" w:hAnsi="Arial"/>
                <w:color w:val="d83931"/>
                <w:sz w:val="22"/>
                <w:shd w:fill="ffe928"/>
              </w:rPr>
              <w:t>IHC需要有肿瘤组织才能做</w:t>
            </w:r>
            <w:r>
              <w:rPr>
                <w:rFonts w:eastAsia="等线" w:ascii="Arial" w:cs="Arial" w:hAnsi="Arial"/>
                <w:sz w:val="22"/>
                <w:shd w:fill="ffe928"/>
              </w:rPr>
              <w:t>，分情况讨论）、分子质控、退检原因） → 检测（二次收费/退费（消息通知）、IHC、基因；确认/拒绝） → 报告回传（设置报告保存期限） → 样本回送（样本可能批量，一个月；按患者需要，也有可能当天还）→ 签收（签收单）</w:t>
            </w:r>
          </w:p>
          <w:p>
            <w:pPr>
              <w:spacing w:before="120" w:after="120" w:line="288" w:lineRule="auto"/>
              <w:ind w:left="0"/>
              <w:jc w:val="left"/>
            </w:pPr>
            <w:r>
              <w:rPr>
                <w:rFonts w:eastAsia="等线" w:ascii="Arial" w:cs="Arial" w:hAnsi="Arial"/>
                <w:sz w:val="22"/>
                <w:shd w:fill="b7edb1"/>
              </w:rPr>
              <w:t>邮寄数据：1. HE/IHC切片；2. 带有肿瘤组织的蜡块；3. 相关病史；4. 辅助检查（CT、胃肠镜、肿瘤标志物...）；5. 原单位的病理报告；</w:t>
            </w:r>
            <w:r>
              <w:rPr>
                <w:rFonts w:eastAsia="等线" w:ascii="Arial" w:cs="Arial" w:hAnsi="Arial"/>
                <w:sz w:val="22"/>
              </w:rPr>
              <w:t xml:space="preserve">6. </w:t>
            </w:r>
            <w:r>
              <w:rPr>
                <w:rFonts w:eastAsia="等线" w:ascii="Arial" w:cs="Arial" w:hAnsi="Arial"/>
                <w:sz w:val="22"/>
                <w:shd w:fill="b7edb1"/>
              </w:rPr>
              <w:t>白片（白片信息不完整会拒收）</w:t>
            </w:r>
          </w:p>
          <w:p>
            <w:pPr>
              <w:spacing w:before="120" w:after="120" w:line="288" w:lineRule="auto"/>
              <w:ind w:left="0"/>
              <w:jc w:val="left"/>
            </w:pPr>
            <w:r>
              <w:rPr>
                <w:rFonts w:eastAsia="等线" w:ascii="Arial" w:cs="Arial" w:hAnsi="Arial"/>
                <w:sz w:val="22"/>
              </w:rPr>
              <w:t>中心医院设置电子申请单（二维码：基础信息、医联体对应的编号），基层医院最好不要改，修改权限在中心医院；有些项目必选；核对病理号；检测项目+姓名+医院+时间（信息提示）；</w:t>
            </w:r>
          </w:p>
          <w:p>
            <w:pPr>
              <w:spacing w:before="120" w:after="120" w:line="288" w:lineRule="auto"/>
              <w:ind w:left="0"/>
              <w:jc w:val="left"/>
            </w:pPr>
            <w:r>
              <w:rPr>
                <w:rFonts w:eastAsia="等线" w:ascii="Arial" w:cs="Arial" w:hAnsi="Arial"/>
                <w:sz w:val="22"/>
              </w:rPr>
              <w:t>医联体数据快速准确录入分子工作站</w:t>
            </w:r>
          </w:p>
          <w:p>
            <w:pPr>
              <w:spacing w:before="120" w:after="120" w:line="288" w:lineRule="auto"/>
              <w:ind w:left="0"/>
              <w:jc w:val="left"/>
            </w:pPr>
            <w:r>
              <w:rPr>
                <w:rFonts w:eastAsia="等线" w:ascii="Arial" w:cs="Arial" w:hAnsi="Arial"/>
                <w:sz w:val="22"/>
              </w:rPr>
              <w:t>医联体医院会有编号</w:t>
            </w:r>
          </w:p>
          <w:p>
            <w:pPr>
              <w:spacing w:before="120" w:after="120" w:line="288" w:lineRule="auto"/>
              <w:ind w:left="0"/>
              <w:jc w:val="left"/>
            </w:pPr>
            <w:r>
              <w:rPr>
                <w:rFonts w:eastAsia="等线" w:ascii="Arial" w:cs="Arial" w:hAnsi="Arial"/>
                <w:sz w:val="22"/>
              </w:rPr>
              <w:t>基层单位病理报告的信息提取（拍照质量：模糊/不全）</w:t>
            </w:r>
          </w:p>
          <w:p>
            <w:pPr>
              <w:spacing w:before="120" w:after="120" w:line="288" w:lineRule="auto"/>
              <w:ind w:left="0"/>
              <w:jc w:val="left"/>
            </w:pPr>
            <w:r>
              <w:rPr>
                <w:rFonts w:eastAsia="等线" w:ascii="Arial" w:cs="Arial" w:hAnsi="Arial"/>
                <w:sz w:val="22"/>
              </w:rPr>
              <w:t>出报告后可以给患者提供下载</w:t>
            </w:r>
          </w:p>
          <w:p>
            <w:pPr>
              <w:spacing w:before="120" w:after="120" w:line="288" w:lineRule="auto"/>
              <w:ind w:left="0"/>
              <w:jc w:val="left"/>
            </w:pPr>
            <w:r>
              <w:rPr>
                <w:rFonts w:eastAsia="等线" w:ascii="Arial" w:cs="Arial" w:hAnsi="Arial"/>
                <w:sz w:val="22"/>
              </w:rPr>
              <w:t>定期统计：按地级市来统计（地区包含哪些内容，可以设置）、项目例数、时间、是否收费</w:t>
            </w:r>
          </w:p>
          <w:p>
            <w:pPr>
              <w:spacing w:before="120" w:after="120" w:line="288" w:lineRule="auto"/>
              <w:ind w:left="0"/>
              <w:jc w:val="left"/>
            </w:pPr>
            <w:r>
              <w:rPr>
                <w:rFonts w:eastAsia="等线" w:ascii="Arial" w:cs="Arial" w:hAnsi="Arial"/>
                <w:sz w:val="22"/>
              </w:rPr>
              <w:t>一个月或者一个季度上传项目总单</w:t>
            </w:r>
          </w:p>
          <w:p>
            <w:pPr>
              <w:spacing w:before="120" w:after="120" w:line="288" w:lineRule="auto"/>
              <w:ind w:left="0"/>
              <w:jc w:val="left"/>
            </w:pPr>
            <w:r>
              <w:rPr>
                <w:rFonts w:eastAsia="等线" w:ascii="Arial" w:cs="Arial" w:hAnsi="Arial"/>
                <w:sz w:val="22"/>
              </w:rPr>
              <w:t>退检/加检理由（备注）</w:t>
            </w:r>
          </w:p>
          <w:p>
            <w:pPr>
              <w:spacing w:before="120" w:after="120" w:line="288" w:lineRule="auto"/>
              <w:ind w:left="0"/>
              <w:jc w:val="left"/>
            </w:pPr>
            <w:r>
              <w:rPr>
                <w:rFonts w:eastAsia="等线" w:ascii="Arial" w:cs="Arial" w:hAnsi="Arial"/>
                <w:sz w:val="22"/>
              </w:rPr>
              <w:t>加检项目同步到基层单位的申请单（二次申请）</w:t>
            </w:r>
          </w:p>
          <w:p>
            <w:pPr>
              <w:spacing w:before="120" w:after="120" w:line="288" w:lineRule="auto"/>
              <w:ind w:left="0"/>
              <w:jc w:val="left"/>
            </w:pPr>
            <w:r>
              <w:rPr>
                <w:rFonts w:eastAsia="等线" w:ascii="Arial" w:cs="Arial" w:hAnsi="Arial"/>
                <w:sz w:val="22"/>
              </w:rPr>
              <w:t>时间轴追述病例流转关键过程</w:t>
            </w:r>
          </w:p>
          <w:p>
            <w:pPr>
              <w:spacing w:before="120" w:after="120" w:line="288" w:lineRule="auto"/>
              <w:ind w:left="0"/>
              <w:jc w:val="left"/>
            </w:pPr>
            <w:r>
              <w:rPr>
                <w:rFonts w:eastAsia="等线" w:ascii="Arial" w:cs="Arial" w:hAnsi="Arial"/>
                <w:sz w:val="22"/>
              </w:rPr>
              <w:t>支持多个病例批量寄送</w:t>
            </w:r>
          </w:p>
          <w:p>
            <w:pPr>
              <w:spacing w:before="120" w:after="120" w:line="288" w:lineRule="auto"/>
              <w:ind w:left="0"/>
              <w:jc w:val="left"/>
            </w:pPr>
            <w:r>
              <w:rPr>
                <w:rFonts w:eastAsia="等线" w:ascii="Arial" w:cs="Arial" w:hAnsi="Arial"/>
                <w:sz w:val="22"/>
              </w:rPr>
              <w:t>补寄样本（新增物流，漏发/缺发）</w:t>
            </w:r>
          </w:p>
          <w:p>
            <w:pPr>
              <w:spacing w:before="120" w:after="120" w:line="288" w:lineRule="auto"/>
              <w:ind w:left="0"/>
              <w:jc w:val="left"/>
            </w:pPr>
            <w:r>
              <w:rPr>
                <w:rFonts w:eastAsia="等线" w:ascii="Arial" w:cs="Arial" w:hAnsi="Arial"/>
                <w:sz w:val="22"/>
              </w:rPr>
              <w:t>每个检测项目对应一个检测项目报告单，报告单支持删除/替换</w:t>
            </w:r>
          </w:p>
          <w:p>
            <w:pPr>
              <w:spacing w:before="120" w:after="120" w:line="288" w:lineRule="auto"/>
              <w:ind w:left="0"/>
              <w:jc w:val="left"/>
            </w:pPr>
            <w:r>
              <w:rPr>
                <w:rFonts w:eastAsia="等线" w:ascii="Arial" w:cs="Arial" w:hAnsi="Arial"/>
                <w:sz w:val="22"/>
              </w:rPr>
              <w:t>检测项目单不包含金额</w:t>
            </w:r>
          </w:p>
          <w:p>
            <w:pPr>
              <w:spacing w:before="120" w:after="120" w:line="288" w:lineRule="auto"/>
              <w:ind w:left="0"/>
              <w:jc w:val="left"/>
            </w:pPr>
            <w:r>
              <w:rPr>
                <w:rFonts w:eastAsia="等线" w:ascii="Arial" w:cs="Arial" w:hAnsi="Arial"/>
                <w:sz w:val="22"/>
              </w:rPr>
              <w:t>消息推送：微信/短信关键流程（加检/退检）</w:t>
            </w:r>
          </w:p>
          <w:p>
            <w:pPr>
              <w:spacing w:before="120" w:after="120" w:line="288" w:lineRule="auto"/>
              <w:ind w:left="0"/>
              <w:jc w:val="left"/>
            </w:pPr>
            <w:r>
              <w:rPr>
                <w:rFonts w:eastAsia="等线" w:ascii="Arial" w:cs="Arial" w:hAnsi="Arial"/>
                <w:sz w:val="22"/>
              </w:rPr>
              <w:t>出具报告时间</w:t>
            </w:r>
          </w:p>
          <w:p>
            <w:pPr>
              <w:spacing w:before="120" w:after="120" w:line="288" w:lineRule="auto"/>
              <w:ind w:left="0"/>
              <w:jc w:val="left"/>
            </w:pPr>
            <w:r>
              <w:rPr>
                <w:rFonts w:eastAsia="等线" w:ascii="Arial" w:cs="Arial" w:hAnsi="Arial"/>
                <w:sz w:val="22"/>
              </w:rPr>
              <w:t>分子检测的病例有一个医联体病理号，还有一个分子病理号</w:t>
            </w:r>
          </w:p>
        </w:tc>
      </w:tr>
    </w:tbl>
    <w:p/>
    <w:tbl>
      <w:tblPr>
        <w:tblW w:w="0" w:type="auto"/>
        <w:tblInd w:w="453" w:type="dxa"/>
        <w:tblBorders>
          <w:top w:val="single" w:color="fed4a4"/>
          <w:left w:val="single" w:color="fed4a4"/>
          <w:bottom w:val="single" w:color="fed4a4"/>
          <w:right w:val="single" w:color="fed4a4"/>
          <w:insideH w:val="single" w:color="fed4a4"/>
          <w:insideV w:val="single" w:color="fed4a4"/>
        </w:tblBorders>
        <w:tblLayout w:type="fixed"/>
      </w:tblPr>
      <w:tblGrid>
        <w:gridCol w:w="7827"/>
      </w:tblGrid>
      <w:tr>
        <w:tc>
          <w:tcPr>
            <w:tcW w:w="7827" w:type="dxa"/>
            <w:shd w:color="auto" w:val="clear" w:fill="fff5eb"/>
            <w:tcMar>
              <w:top w:type="dxa" w:w="60"/>
              <w:left w:type="dxa" w:w="120"/>
              <w:bottom w:type="dxa" w:w="30"/>
              <w:right w:type="dxa" w:w="120"/>
            </w:tcMar>
          </w:tcPr>
          <w:p>
            <w:pPr>
              <w:spacing w:before="120" w:after="120" w:line="288" w:lineRule="auto"/>
              <w:ind w:left="0"/>
              <w:jc w:val="left"/>
            </w:pPr>
            <w:r>
              <w:rPr>
                <w:rFonts w:eastAsia="等线" w:ascii="Arial" w:cs="Arial" w:hAnsi="Arial"/>
                <w:sz w:val="22"/>
              </w:rPr>
              <w:t>是否需要另外开一个文件显示免疫组化和基因检测项目中的每一项</w:t>
            </w:r>
          </w:p>
          <w:p>
            <w:pPr>
              <w:spacing w:before="120" w:after="120" w:line="288" w:lineRule="auto"/>
              <w:ind w:left="0"/>
              <w:jc w:val="left"/>
            </w:pPr>
          </w:p>
          <w:p>
            <w:pPr>
              <w:spacing w:before="120" w:after="120" w:line="288" w:lineRule="auto"/>
              <w:ind w:left="0"/>
              <w:jc w:val="left"/>
            </w:pPr>
            <w:r>
              <w:rPr>
                <w:rFonts w:eastAsia="等线" w:ascii="Arial" w:cs="Arial" w:hAnsi="Arial"/>
                <w:sz w:val="22"/>
              </w:rPr>
              <w:t>申请单中的原发病灶部位：是否是会诊系统里的亚专科类别，如果是，添加下拉框选择亚专科类别中的部位，允许作为模板导入。</w:t>
            </w:r>
          </w:p>
          <w:p>
            <w:pPr>
              <w:spacing w:before="120" w:after="120" w:line="288" w:lineRule="auto"/>
              <w:ind w:left="0"/>
              <w:jc w:val="left"/>
            </w:pPr>
          </w:p>
          <w:p>
            <w:pPr>
              <w:spacing w:before="120" w:after="120" w:line="288" w:lineRule="auto"/>
              <w:ind w:left="0"/>
              <w:jc w:val="left"/>
            </w:pPr>
            <w:r>
              <w:rPr>
                <w:rFonts w:eastAsia="等线" w:ascii="Arial" w:cs="Arial" w:hAnsi="Arial"/>
                <w:sz w:val="22"/>
              </w:rPr>
              <w:t>福建省肿瘤病理诊断联合体编号的格式希望是什么样的？</w:t>
            </w:r>
          </w:p>
        </w:tc>
      </w:tr>
    </w:tbl>
    <w:p>
      <w:pPr>
        <w:spacing w:before="120" w:after="120" w:line="288" w:lineRule="auto"/>
        <w:ind w:left="453"/>
        <w:jc w:val="left"/>
      </w:pPr>
    </w:p>
    <w:sectPr>
      <w:footerReference w:type="default" r:id="rId3"/>
      <w:headerReference w:type="default" r:id="rId27"/>
      <w:pgSz w:orient="portrait" w:h="16840" w:w="11905"/>
    </w:sectPr>
  </w:body>
</w: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numbering.xml><?xml version="1.0" encoding="utf-8"?>
<w:numbering xmlns:w="http://schemas.openxmlformats.org/wordprocessingml/2006/main">
  <w:abstractNum w:abstractNumId="369931">
    <w:lvl>
      <w:start w:val="1"/>
      <w:numFmt w:val="decimal"/>
      <w:suff w:val="tab"/>
      <w:lvlText w:val="%1."/>
      <w:rPr>
        <w:color w:val="3370ff"/>
      </w:rPr>
    </w:lvl>
  </w:abstractNum>
  <w:abstractNum w:abstractNumId="369932">
    <w:lvl>
      <w:start w:val="2"/>
      <w:numFmt w:val="decimal"/>
      <w:suff w:val="tab"/>
      <w:lvlText w:val="%1."/>
      <w:rPr>
        <w:color w:val="3370ff"/>
      </w:rPr>
    </w:lvl>
  </w:abstractNum>
  <w:abstractNum w:abstractNumId="369933">
    <w:lvl>
      <w:numFmt w:val="bullet"/>
      <w:suff w:val="tab"/>
      <w:lvlText w:val="•"/>
      <w:rPr>
        <w:color w:val="3370ff"/>
      </w:rPr>
    </w:lvl>
  </w:abstractNum>
  <w:abstractNum w:abstractNumId="369934">
    <w:lvl>
      <w:numFmt w:val="bullet"/>
      <w:suff w:val="tab"/>
      <w:lvlText w:val="•"/>
      <w:rPr>
        <w:color w:val="3370ff"/>
      </w:rPr>
    </w:lvl>
  </w:abstractNum>
  <w:abstractNum w:abstractNumId="369935">
    <w:lvl>
      <w:numFmt w:val="bullet"/>
      <w:suff w:val="tab"/>
      <w:lvlText w:val="•"/>
      <w:rPr>
        <w:color w:val="3370ff"/>
      </w:rPr>
    </w:lvl>
  </w:abstractNum>
  <w:abstractNum w:abstractNumId="369936">
    <w:lvl>
      <w:numFmt w:val="bullet"/>
      <w:suff w:val="tab"/>
      <w:lvlText w:val="￮"/>
      <w:rPr>
        <w:color w:val="3370ff"/>
      </w:rPr>
    </w:lvl>
  </w:abstractNum>
  <w:abstractNum w:abstractNumId="369937">
    <w:lvl>
      <w:numFmt w:val="bullet"/>
      <w:suff w:val="tab"/>
      <w:lvlText w:val="▪"/>
      <w:rPr>
        <w:color w:val="3370ff"/>
        <w:sz w:val="11"/>
      </w:rPr>
    </w:lvl>
  </w:abstractNum>
  <w:abstractNum w:abstractNumId="369938">
    <w:lvl>
      <w:numFmt w:val="bullet"/>
      <w:suff w:val="tab"/>
      <w:lvlText w:val="▪"/>
      <w:rPr>
        <w:color w:val="3370ff"/>
        <w:sz w:val="11"/>
      </w:rPr>
    </w:lvl>
  </w:abstractNum>
  <w:abstractNum w:abstractNumId="369939">
    <w:lvl>
      <w:numFmt w:val="bullet"/>
      <w:suff w:val="tab"/>
      <w:lvlText w:val="￮"/>
      <w:rPr>
        <w:color w:val="3370ff"/>
      </w:rPr>
    </w:lvl>
  </w:abstractNum>
  <w:abstractNum w:abstractNumId="369940">
    <w:lvl>
      <w:numFmt w:val="bullet"/>
      <w:suff w:val="tab"/>
      <w:lvlText w:val="▪"/>
      <w:rPr>
        <w:color w:val="3370ff"/>
        <w:sz w:val="11"/>
      </w:rPr>
    </w:lvl>
  </w:abstractNum>
  <w:abstractNum w:abstractNumId="369941">
    <w:lvl>
      <w:numFmt w:val="bullet"/>
      <w:suff w:val="tab"/>
      <w:lvlText w:val="▪"/>
      <w:rPr>
        <w:color w:val="3370ff"/>
        <w:sz w:val="11"/>
      </w:rPr>
    </w:lvl>
  </w:abstractNum>
  <w:abstractNum w:abstractNumId="369942">
    <w:lvl>
      <w:numFmt w:val="bullet"/>
      <w:suff w:val="tab"/>
      <w:lvlText w:val="▪"/>
      <w:rPr>
        <w:color w:val="3370ff"/>
        <w:sz w:val="11"/>
      </w:rPr>
    </w:lvl>
  </w:abstractNum>
  <w:abstractNum w:abstractNumId="369943">
    <w:lvl>
      <w:numFmt w:val="bullet"/>
      <w:suff w:val="tab"/>
      <w:lvlText w:val="￮"/>
      <w:rPr>
        <w:color w:val="3370ff"/>
      </w:rPr>
    </w:lvl>
  </w:abstractNum>
  <w:abstractNum w:abstractNumId="369944">
    <w:lvl>
      <w:numFmt w:val="bullet"/>
      <w:suff w:val="tab"/>
      <w:lvlText w:val="▪"/>
      <w:rPr>
        <w:color w:val="3370ff"/>
        <w:sz w:val="11"/>
      </w:rPr>
    </w:lvl>
  </w:abstractNum>
  <w:abstractNum w:abstractNumId="369945">
    <w:lvl>
      <w:numFmt w:val="bullet"/>
      <w:suff w:val="tab"/>
      <w:lvlText w:val="▪"/>
      <w:rPr>
        <w:color w:val="3370ff"/>
        <w:sz w:val="11"/>
      </w:rPr>
    </w:lvl>
  </w:abstractNum>
  <w:abstractNum w:abstractNumId="369946">
    <w:lvl>
      <w:numFmt w:val="bullet"/>
      <w:suff w:val="tab"/>
      <w:lvlText w:val="▪"/>
      <w:rPr>
        <w:color w:val="3370ff"/>
        <w:sz w:val="11"/>
      </w:rPr>
    </w:lvl>
  </w:abstractNum>
  <w:abstractNum w:abstractNumId="369947">
    <w:lvl>
      <w:numFmt w:val="bullet"/>
      <w:suff w:val="tab"/>
      <w:lvlText w:val="▪"/>
      <w:rPr>
        <w:color w:val="3370ff"/>
        <w:sz w:val="11"/>
      </w:rPr>
    </w:lvl>
  </w:abstractNum>
  <w:abstractNum w:abstractNumId="369948">
    <w:lvl>
      <w:numFmt w:val="bullet"/>
      <w:suff w:val="tab"/>
      <w:lvlText w:val="•"/>
      <w:rPr>
        <w:color w:val="3370ff"/>
      </w:rPr>
    </w:lvl>
  </w:abstractNum>
  <w:abstractNum w:abstractNumId="369949">
    <w:lvl>
      <w:numFmt w:val="bullet"/>
      <w:suff w:val="tab"/>
      <w:lvlText w:val="•"/>
      <w:rPr>
        <w:color w:val="3370ff"/>
      </w:rPr>
    </w:lvl>
  </w:abstractNum>
  <w:abstractNum w:abstractNumId="369950">
    <w:lvl>
      <w:numFmt w:val="bullet"/>
      <w:suff w:val="tab"/>
      <w:lvlText w:val="▪"/>
      <w:rPr>
        <w:color w:val="3370ff"/>
        <w:sz w:val="11"/>
      </w:rPr>
    </w:lvl>
  </w:abstractNum>
  <w:abstractNum w:abstractNumId="369951">
    <w:lvl>
      <w:numFmt w:val="bullet"/>
      <w:suff w:val="tab"/>
      <w:lvlText w:val="•"/>
      <w:rPr>
        <w:color w:val="3370ff"/>
      </w:rPr>
    </w:lvl>
  </w:abstractNum>
  <w:abstractNum w:abstractNumId="369952">
    <w:lvl>
      <w:numFmt w:val="bullet"/>
      <w:suff w:val="tab"/>
      <w:lvlText w:val="•"/>
      <w:rPr>
        <w:color w:val="3370ff"/>
      </w:rPr>
    </w:lvl>
  </w:abstractNum>
  <w:abstractNum w:abstractNumId="369953">
    <w:lvl>
      <w:numFmt w:val="bullet"/>
      <w:suff w:val="tab"/>
      <w:lvlText w:val="￮"/>
      <w:rPr>
        <w:color w:val="3370ff"/>
      </w:rPr>
    </w:lvl>
  </w:abstractNum>
  <w:abstractNum w:abstractNumId="369954">
    <w:lvl>
      <w:numFmt w:val="bullet"/>
      <w:suff w:val="tab"/>
      <w:lvlText w:val="▪"/>
      <w:rPr>
        <w:color w:val="3370ff"/>
        <w:sz w:val="11"/>
      </w:rPr>
    </w:lvl>
  </w:abstractNum>
  <w:abstractNum w:abstractNumId="369955">
    <w:lvl>
      <w:numFmt w:val="bullet"/>
      <w:suff w:val="tab"/>
      <w:lvlText w:val="•"/>
      <w:rPr>
        <w:color w:val="3370ff"/>
      </w:rPr>
    </w:lvl>
  </w:abstractNum>
  <w:abstractNum w:abstractNumId="369956">
    <w:lvl>
      <w:numFmt w:val="bullet"/>
      <w:suff w:val="tab"/>
      <w:lvlText w:val="•"/>
      <w:rPr>
        <w:color w:val="3370ff"/>
      </w:rPr>
    </w:lvl>
  </w:abstractNum>
  <w:abstractNum w:abstractNumId="369957">
    <w:lvl>
      <w:numFmt w:val="bullet"/>
      <w:suff w:val="tab"/>
      <w:lvlText w:val="▪"/>
      <w:rPr>
        <w:color w:val="3370ff"/>
        <w:sz w:val="11"/>
      </w:rPr>
    </w:lvl>
  </w:abstractNum>
  <w:abstractNum w:abstractNumId="369958">
    <w:lvl>
      <w:numFmt w:val="bullet"/>
      <w:suff w:val="tab"/>
      <w:lvlText w:val="•"/>
      <w:rPr>
        <w:color w:val="3370ff"/>
      </w:rPr>
    </w:lvl>
  </w:abstractNum>
  <w:abstractNum w:abstractNumId="369959">
    <w:lvl>
      <w:numFmt w:val="bullet"/>
      <w:suff w:val="tab"/>
      <w:lvlText w:val="•"/>
      <w:rPr>
        <w:color w:val="3370ff"/>
      </w:rPr>
    </w:lvl>
  </w:abstractNum>
  <w:abstractNum w:abstractNumId="369960">
    <w:lvl>
      <w:numFmt w:val="bullet"/>
      <w:suff w:val="tab"/>
      <w:lvlText w:val="￮"/>
      <w:rPr>
        <w:color w:val="3370ff"/>
      </w:rPr>
    </w:lvl>
  </w:abstractNum>
  <w:abstractNum w:abstractNumId="369961">
    <w:lvl>
      <w:numFmt w:val="bullet"/>
      <w:suff w:val="tab"/>
      <w:lvlText w:val="•"/>
      <w:rPr>
        <w:color w:val="3370ff"/>
      </w:rPr>
    </w:lvl>
  </w:abstractNum>
  <w:abstractNum w:abstractNumId="369962">
    <w:lvl>
      <w:numFmt w:val="bullet"/>
      <w:suff w:val="tab"/>
      <w:lvlText w:val="•"/>
      <w:rPr>
        <w:color w:val="3370ff"/>
      </w:rPr>
    </w:lvl>
  </w:abstractNum>
  <w:abstractNum w:abstractNumId="369963">
    <w:lvl>
      <w:numFmt w:val="bullet"/>
      <w:suff w:val="tab"/>
      <w:lvlText w:val="•"/>
      <w:rPr>
        <w:color w:val="3370ff"/>
      </w:rPr>
    </w:lvl>
  </w:abstractNum>
  <w:abstractNum w:abstractNumId="369964">
    <w:lvl>
      <w:numFmt w:val="bullet"/>
      <w:suff w:val="tab"/>
      <w:lvlText w:val="•"/>
      <w:rPr>
        <w:color w:val="3370ff"/>
      </w:rPr>
    </w:lvl>
  </w:abstractNum>
  <w:abstractNum w:abstractNumId="369965">
    <w:lvl>
      <w:numFmt w:val="bullet"/>
      <w:suff w:val="tab"/>
      <w:lvlText w:val="•"/>
      <w:rPr>
        <w:color w:val="3370ff"/>
      </w:rPr>
    </w:lvl>
  </w:abstractNum>
  <w:abstractNum w:abstractNumId="369966">
    <w:lvl>
      <w:numFmt w:val="bullet"/>
      <w:suff w:val="tab"/>
      <w:lvlText w:val="•"/>
      <w:rPr>
        <w:color w:val="3370ff"/>
      </w:rPr>
    </w:lvl>
  </w:abstractNum>
  <w:abstractNum w:abstractNumId="369967">
    <w:lvl>
      <w:start w:val="1"/>
      <w:numFmt w:val="decimal"/>
      <w:suff w:val="tab"/>
      <w:lvlText w:val="%1."/>
      <w:rPr>
        <w:color w:val="3370ff"/>
      </w:rPr>
    </w:lvl>
  </w:abstractNum>
  <w:abstractNum w:abstractNumId="369968">
    <w:lvl>
      <w:start w:val="2"/>
      <w:numFmt w:val="decimal"/>
      <w:suff w:val="tab"/>
      <w:lvlText w:val="%1."/>
      <w:rPr>
        <w:color w:val="3370ff"/>
      </w:rPr>
    </w:lvl>
  </w:abstractNum>
  <w:abstractNum w:abstractNumId="369969">
    <w:lvl>
      <w:start w:val="3"/>
      <w:numFmt w:val="decimal"/>
      <w:suff w:val="tab"/>
      <w:lvlText w:val="%1."/>
      <w:rPr>
        <w:color w:val="3370ff"/>
      </w:rPr>
    </w:lvl>
  </w:abstractNum>
  <w:abstractNum w:abstractNumId="369970">
    <w:lvl>
      <w:start w:val="4"/>
      <w:numFmt w:val="decimal"/>
      <w:suff w:val="tab"/>
      <w:lvlText w:val="%1."/>
      <w:rPr>
        <w:color w:val="3370ff"/>
      </w:rPr>
    </w:lvl>
  </w:abstractNum>
  <w:abstractNum w:abstractNumId="369971">
    <w:lvl>
      <w:start w:val="5"/>
      <w:numFmt w:val="decimal"/>
      <w:suff w:val="tab"/>
      <w:lvlText w:val="%1."/>
      <w:rPr>
        <w:color w:val="3370ff"/>
      </w:rPr>
    </w:lvl>
  </w:abstractNum>
  <w:abstractNum w:abstractNumId="369972">
    <w:lvl>
      <w:numFmt w:val="bullet"/>
      <w:suff w:val="tab"/>
      <w:lvlText w:val="•"/>
      <w:rPr>
        <w:color w:val="3370ff"/>
      </w:rPr>
    </w:lvl>
  </w:abstractNum>
  <w:abstractNum w:abstractNumId="369973">
    <w:lvl>
      <w:numFmt w:val="bullet"/>
      <w:suff w:val="tab"/>
      <w:lvlText w:val="•"/>
      <w:rPr>
        <w:color w:val="3370ff"/>
      </w:rPr>
    </w:lvl>
  </w:abstractNum>
  <w:abstractNum w:abstractNumId="369974">
    <w:lvl>
      <w:numFmt w:val="bullet"/>
      <w:suff w:val="tab"/>
      <w:lvlText w:val="•"/>
      <w:rPr>
        <w:color w:val="3370ff"/>
      </w:rPr>
    </w:lvl>
  </w:abstractNum>
  <w:abstractNum w:abstractNumId="369975">
    <w:lvl>
      <w:numFmt w:val="bullet"/>
      <w:suff w:val="tab"/>
      <w:lvlText w:val="•"/>
      <w:rPr>
        <w:color w:val="3370ff"/>
      </w:rPr>
    </w:lvl>
  </w:abstractNum>
  <w:abstractNum w:abstractNumId="369976">
    <w:lvl>
      <w:numFmt w:val="bullet"/>
      <w:suff w:val="tab"/>
      <w:lvlText w:val="•"/>
      <w:rPr>
        <w:color w:val="3370ff"/>
      </w:rPr>
    </w:lvl>
  </w:abstractNum>
  <w:abstractNum w:abstractNumId="369977">
    <w:lvl>
      <w:numFmt w:val="bullet"/>
      <w:suff w:val="tab"/>
      <w:lvlText w:val="•"/>
      <w:rPr>
        <w:color w:val="3370ff"/>
      </w:rPr>
    </w:lvl>
  </w:abstractNum>
  <w:abstractNum w:abstractNumId="369978">
    <w:lvl>
      <w:numFmt w:val="bullet"/>
      <w:suff w:val="tab"/>
      <w:lvlText w:val="•"/>
      <w:rPr>
        <w:color w:val="3370ff"/>
      </w:rPr>
    </w:lvl>
  </w:abstractNum>
  <w:abstractNum w:abstractNumId="369979">
    <w:lvl>
      <w:numFmt w:val="bullet"/>
      <w:suff w:val="tab"/>
      <w:lvlText w:val="•"/>
      <w:rPr>
        <w:color w:val="3370ff"/>
      </w:rPr>
    </w:lvl>
  </w:abstractNum>
  <w:abstractNum w:abstractNumId="369980">
    <w:lvl>
      <w:numFmt w:val="bullet"/>
      <w:suff w:val="tab"/>
      <w:lvlText w:val="•"/>
      <w:rPr>
        <w:color w:val="3370ff"/>
      </w:rPr>
    </w:lvl>
  </w:abstractNum>
  <w:abstractNum w:abstractNumId="369981">
    <w:lvl>
      <w:numFmt w:val="bullet"/>
      <w:suff w:val="tab"/>
      <w:lvlText w:val="•"/>
      <w:rPr>
        <w:color w:val="3370ff"/>
      </w:rPr>
    </w:lvl>
  </w:abstractNum>
  <w:abstractNum w:abstractNumId="369982">
    <w:lvl>
      <w:numFmt w:val="bullet"/>
      <w:suff w:val="tab"/>
      <w:lvlText w:val="•"/>
      <w:rPr>
        <w:color w:val="3370ff"/>
      </w:rPr>
    </w:lvl>
  </w:abstractNum>
  <w:abstractNum w:abstractNumId="369983">
    <w:lvl>
      <w:numFmt w:val="bullet"/>
      <w:suff w:val="tab"/>
      <w:lvlText w:val="•"/>
      <w:rPr>
        <w:color w:val="3370ff"/>
      </w:rPr>
    </w:lvl>
  </w:abstractNum>
  <w:abstractNum w:abstractNumId="369984">
    <w:lvl>
      <w:numFmt w:val="bullet"/>
      <w:suff w:val="tab"/>
      <w:lvlText w:val="•"/>
      <w:rPr>
        <w:color w:val="3370ff"/>
      </w:rPr>
    </w:lvl>
  </w:abstractNum>
  <w:abstractNum w:abstractNumId="369985">
    <w:lvl>
      <w:numFmt w:val="bullet"/>
      <w:suff w:val="tab"/>
      <w:lvlText w:val="•"/>
      <w:rPr>
        <w:color w:val="3370ff"/>
      </w:rPr>
    </w:lvl>
  </w:abstractNum>
  <w:abstractNum w:abstractNumId="369986">
    <w:lvl>
      <w:numFmt w:val="bullet"/>
      <w:suff w:val="tab"/>
      <w:lvlText w:val="•"/>
      <w:rPr>
        <w:color w:val="3370ff"/>
      </w:rPr>
    </w:lvl>
  </w:abstractNum>
  <w:abstractNum w:abstractNumId="369987">
    <w:lvl>
      <w:numFmt w:val="bullet"/>
      <w:suff w:val="tab"/>
      <w:lvlText w:val="•"/>
      <w:rPr>
        <w:color w:val="3370ff"/>
      </w:rPr>
    </w:lvl>
  </w:abstractNum>
  <w:abstractNum w:abstractNumId="369988">
    <w:lvl>
      <w:numFmt w:val="bullet"/>
      <w:suff w:val="tab"/>
      <w:lvlText w:val="•"/>
      <w:rPr>
        <w:color w:val="3370ff"/>
      </w:rPr>
    </w:lvl>
  </w:abstractNum>
  <w:abstractNum w:abstractNumId="369989">
    <w:lvl>
      <w:numFmt w:val="bullet"/>
      <w:suff w:val="tab"/>
      <w:lvlText w:val="•"/>
      <w:rPr>
        <w:color w:val="3370ff"/>
      </w:rPr>
    </w:lvl>
  </w:abstractNum>
  <w:abstractNum w:abstractNumId="369990">
    <w:lvl>
      <w:numFmt w:val="bullet"/>
      <w:suff w:val="tab"/>
      <w:lvlText w:val="•"/>
      <w:rPr>
        <w:color w:val="3370ff"/>
      </w:rPr>
    </w:lvl>
  </w:abstractNum>
  <w:abstractNum w:abstractNumId="369991">
    <w:lvl>
      <w:numFmt w:val="bullet"/>
      <w:suff w:val="tab"/>
      <w:lvlText w:val="￮"/>
      <w:rPr>
        <w:color w:val="3370ff"/>
      </w:rPr>
    </w:lvl>
  </w:abstractNum>
  <w:abstractNum w:abstractNumId="369992">
    <w:lvl>
      <w:numFmt w:val="bullet"/>
      <w:suff w:val="tab"/>
      <w:lvlText w:val="￮"/>
      <w:rPr>
        <w:color w:val="3370ff"/>
      </w:rPr>
    </w:lvl>
  </w:abstractNum>
  <w:abstractNum w:abstractNumId="369993">
    <w:lvl>
      <w:numFmt w:val="bullet"/>
      <w:suff w:val="tab"/>
      <w:lvlText w:val="•"/>
      <w:rPr>
        <w:color w:val="3370ff"/>
      </w:rPr>
    </w:lvl>
  </w:abstractNum>
  <w:abstractNum w:abstractNumId="369994">
    <w:lvl>
      <w:numFmt w:val="bullet"/>
      <w:suff w:val="tab"/>
      <w:lvlText w:val="•"/>
      <w:rPr>
        <w:color w:val="3370ff"/>
      </w:rPr>
    </w:lvl>
  </w:abstractNum>
  <w:abstractNum w:abstractNumId="369995">
    <w:lvl>
      <w:numFmt w:val="bullet"/>
      <w:suff w:val="tab"/>
      <w:lvlText w:val="•"/>
      <w:rPr>
        <w:color w:val="3370ff"/>
      </w:rPr>
    </w:lvl>
  </w:abstractNum>
  <w:abstractNum w:abstractNumId="369996">
    <w:lvl>
      <w:numFmt w:val="bullet"/>
      <w:suff w:val="tab"/>
      <w:lvlText w:val="￮"/>
      <w:rPr>
        <w:color w:val="3370ff"/>
      </w:rPr>
    </w:lvl>
  </w:abstractNum>
  <w:abstractNum w:abstractNumId="369997">
    <w:lvl>
      <w:numFmt w:val="bullet"/>
      <w:suff w:val="tab"/>
      <w:lvlText w:val="￮"/>
      <w:rPr>
        <w:color w:val="3370ff"/>
      </w:rPr>
    </w:lvl>
  </w:abstractNum>
  <w:abstractNum w:abstractNumId="369998">
    <w:lvl>
      <w:numFmt w:val="bullet"/>
      <w:suff w:val="tab"/>
      <w:lvlText w:val="￮"/>
      <w:rPr>
        <w:color w:val="3370ff"/>
      </w:rPr>
    </w:lvl>
  </w:abstractNum>
  <w:abstractNum w:abstractNumId="369999">
    <w:lvl>
      <w:numFmt w:val="bullet"/>
      <w:suff w:val="tab"/>
      <w:lvlText w:val="￮"/>
      <w:rPr>
        <w:color w:val="3370ff"/>
      </w:rPr>
    </w:lvl>
  </w:abstractNum>
  <w:abstractNum w:abstractNumId="370000">
    <w:lvl>
      <w:numFmt w:val="bullet"/>
      <w:suff w:val="tab"/>
      <w:lvlText w:val="￮"/>
      <w:rPr>
        <w:color w:val="3370ff"/>
      </w:rPr>
    </w:lvl>
  </w:abstractNum>
  <w:abstractNum w:abstractNumId="370001">
    <w:lvl>
      <w:numFmt w:val="bullet"/>
      <w:suff w:val="tab"/>
      <w:lvlText w:val="￮"/>
      <w:rPr>
        <w:color w:val="3370ff"/>
      </w:rPr>
    </w:lvl>
  </w:abstractNum>
  <w:abstractNum w:abstractNumId="370002">
    <w:lvl>
      <w:numFmt w:val="bullet"/>
      <w:suff w:val="tab"/>
      <w:lvlText w:val="￮"/>
      <w:rPr>
        <w:color w:val="3370ff"/>
      </w:rPr>
    </w:lvl>
  </w:abstractNum>
  <w:abstractNum w:abstractNumId="370003">
    <w:lvl>
      <w:numFmt w:val="bullet"/>
      <w:suff w:val="tab"/>
      <w:lvlText w:val="•"/>
      <w:rPr>
        <w:color w:val="3370ff"/>
      </w:rPr>
    </w:lvl>
  </w:abstractNum>
  <w:abstractNum w:abstractNumId="370004">
    <w:lvl>
      <w:numFmt w:val="bullet"/>
      <w:suff w:val="tab"/>
      <w:lvlText w:val="•"/>
      <w:rPr>
        <w:color w:val="3370ff"/>
      </w:rPr>
    </w:lvl>
  </w:abstractNum>
  <w:abstractNum w:abstractNumId="370005">
    <w:lvl>
      <w:numFmt w:val="bullet"/>
      <w:suff w:val="tab"/>
      <w:lvlText w:val="•"/>
      <w:rPr>
        <w:color w:val="3370ff"/>
      </w:rPr>
    </w:lvl>
  </w:abstractNum>
  <w:abstractNum w:abstractNumId="370006">
    <w:lvl>
      <w:numFmt w:val="bullet"/>
      <w:suff w:val="tab"/>
      <w:lvlText w:val="▪"/>
      <w:rPr>
        <w:color w:val="3370ff"/>
        <w:sz w:val="11"/>
      </w:rPr>
    </w:lvl>
  </w:abstractNum>
  <w:abstractNum w:abstractNumId="370007">
    <w:lvl>
      <w:numFmt w:val="bullet"/>
      <w:suff w:val="tab"/>
      <w:lvlText w:val="▪"/>
      <w:rPr>
        <w:color w:val="3370ff"/>
        <w:sz w:val="11"/>
      </w:rPr>
    </w:lvl>
  </w:abstractNum>
  <w:abstractNum w:abstractNumId="370008">
    <w:lvl>
      <w:numFmt w:val="bullet"/>
      <w:suff w:val="tab"/>
      <w:lvlText w:val="▪"/>
      <w:rPr>
        <w:color w:val="3370ff"/>
        <w:sz w:val="11"/>
      </w:rPr>
    </w:lvl>
  </w:abstractNum>
  <w:abstractNum w:abstractNumId="370009">
    <w:lvl>
      <w:numFmt w:val="bullet"/>
      <w:suff w:val="tab"/>
      <w:lvlText w:val="▪"/>
      <w:rPr>
        <w:color w:val="3370ff"/>
        <w:sz w:val="11"/>
      </w:rPr>
    </w:lvl>
  </w:abstractNum>
  <w:abstractNum w:abstractNumId="370010">
    <w:lvl>
      <w:numFmt w:val="bullet"/>
      <w:suff w:val="tab"/>
      <w:lvlText w:val="▪"/>
      <w:rPr>
        <w:color w:val="3370ff"/>
        <w:sz w:val="11"/>
      </w:rPr>
    </w:lvl>
  </w:abstractNum>
  <w:abstractNum w:abstractNumId="370011">
    <w:lvl>
      <w:numFmt w:val="bullet"/>
      <w:suff w:val="tab"/>
      <w:lvlText w:val="▪"/>
      <w:rPr>
        <w:color w:val="3370ff"/>
        <w:sz w:val="11"/>
      </w:rPr>
    </w:lvl>
  </w:abstractNum>
  <w:abstractNum w:abstractNumId="370012">
    <w:lvl>
      <w:numFmt w:val="bullet"/>
      <w:suff w:val="tab"/>
      <w:lvlText w:val="▪"/>
      <w:rPr>
        <w:color w:val="3370ff"/>
        <w:sz w:val="11"/>
      </w:rPr>
    </w:lvl>
  </w:abstractNum>
  <w:abstractNum w:abstractNumId="370013">
    <w:lvl>
      <w:numFmt w:val="bullet"/>
      <w:suff w:val="tab"/>
      <w:lvlText w:val="▪"/>
      <w:rPr>
        <w:color w:val="3370ff"/>
        <w:sz w:val="11"/>
      </w:rPr>
    </w:lvl>
  </w:abstractNum>
  <w:abstractNum w:abstractNumId="370014">
    <w:lvl>
      <w:numFmt w:val="bullet"/>
      <w:suff w:val="tab"/>
      <w:lvlText w:val="▪"/>
      <w:rPr>
        <w:color w:val="3370ff"/>
        <w:sz w:val="11"/>
      </w:rPr>
    </w:lvl>
  </w:abstractNum>
  <w:abstractNum w:abstractNumId="370015">
    <w:lvl>
      <w:numFmt w:val="bullet"/>
      <w:suff w:val="tab"/>
      <w:lvlText w:val="▪"/>
      <w:rPr>
        <w:color w:val="3370ff"/>
        <w:sz w:val="11"/>
      </w:rPr>
    </w:lvl>
  </w:abstractNum>
  <w:abstractNum w:abstractNumId="370016">
    <w:lvl>
      <w:numFmt w:val="bullet"/>
      <w:suff w:val="tab"/>
      <w:lvlText w:val="▪"/>
      <w:rPr>
        <w:color w:val="3370ff"/>
        <w:sz w:val="11"/>
      </w:rPr>
    </w:lvl>
  </w:abstractNum>
  <w:abstractNum w:abstractNumId="370017">
    <w:lvl>
      <w:numFmt w:val="bullet"/>
      <w:suff w:val="tab"/>
      <w:lvlText w:val="▪"/>
      <w:rPr>
        <w:color w:val="3370ff"/>
        <w:sz w:val="11"/>
      </w:rPr>
    </w:lvl>
  </w:abstractNum>
  <w:abstractNum w:abstractNumId="370018">
    <w:lvl>
      <w:numFmt w:val="bullet"/>
      <w:suff w:val="tab"/>
      <w:lvlText w:val="▪"/>
      <w:rPr>
        <w:color w:val="3370ff"/>
        <w:sz w:val="11"/>
      </w:rPr>
    </w:lvl>
  </w:abstractNum>
  <w:abstractNum w:abstractNumId="370019">
    <w:lvl>
      <w:numFmt w:val="bullet"/>
      <w:suff w:val="tab"/>
      <w:lvlText w:val="▪"/>
      <w:rPr>
        <w:color w:val="3370ff"/>
        <w:sz w:val="11"/>
      </w:rPr>
    </w:lvl>
  </w:abstractNum>
  <w:abstractNum w:abstractNumId="370020">
    <w:lvl>
      <w:numFmt w:val="bullet"/>
      <w:suff w:val="tab"/>
      <w:lvlText w:val="▪"/>
      <w:rPr>
        <w:color w:val="3370ff"/>
        <w:sz w:val="11"/>
      </w:rPr>
    </w:lvl>
  </w:abstractNum>
  <w:abstractNum w:abstractNumId="370021">
    <w:lvl>
      <w:numFmt w:val="bullet"/>
      <w:suff w:val="tab"/>
      <w:lvlText w:val="▪"/>
      <w:rPr>
        <w:color w:val="3370ff"/>
        <w:sz w:val="11"/>
      </w:rPr>
    </w:lvl>
  </w:abstractNum>
  <w:abstractNum w:abstractNumId="370022">
    <w:lvl>
      <w:numFmt w:val="bullet"/>
      <w:suff w:val="tab"/>
      <w:lvlText w:val="•"/>
      <w:rPr>
        <w:color w:val="3370ff"/>
      </w:rPr>
    </w:lvl>
  </w:abstractNum>
  <w:abstractNum w:abstractNumId="370023">
    <w:lvl>
      <w:numFmt w:val="bullet"/>
      <w:suff w:val="tab"/>
      <w:lvlText w:val="•"/>
      <w:rPr>
        <w:color w:val="3370ff"/>
      </w:rPr>
    </w:lvl>
  </w:abstractNum>
  <w:abstractNum w:abstractNumId="370024">
    <w:lvl>
      <w:numFmt w:val="bullet"/>
      <w:suff w:val="tab"/>
      <w:lvlText w:val="•"/>
      <w:rPr>
        <w:color w:val="3370ff"/>
      </w:rPr>
    </w:lvl>
  </w:abstractNum>
  <w:abstractNum w:abstractNumId="370025">
    <w:lvl>
      <w:start w:val="1"/>
      <w:numFmt w:val="decimal"/>
      <w:suff w:val="tab"/>
      <w:lvlText w:val="%1."/>
      <w:rPr>
        <w:color w:val="3370ff"/>
      </w:rPr>
    </w:lvl>
  </w:abstractNum>
  <w:abstractNum w:abstractNumId="370026">
    <w:lvl>
      <w:start w:val="2"/>
      <w:numFmt w:val="decimal"/>
      <w:suff w:val="tab"/>
      <w:lvlText w:val="%1."/>
      <w:rPr>
        <w:color w:val="3370ff"/>
      </w:rPr>
    </w:lvl>
  </w:abstractNum>
  <w:abstractNum w:abstractNumId="370027">
    <w:lvl>
      <w:start w:val="3"/>
      <w:numFmt w:val="decimal"/>
      <w:suff w:val="tab"/>
      <w:lvlText w:val="%1."/>
      <w:rPr>
        <w:color w:val="3370ff"/>
      </w:rPr>
    </w:lvl>
  </w:abstractNum>
  <w:abstractNum w:abstractNumId="370028">
    <w:lvl>
      <w:start w:val="4"/>
      <w:numFmt w:val="decimal"/>
      <w:suff w:val="tab"/>
      <w:lvlText w:val="%1."/>
      <w:rPr>
        <w:color w:val="3370ff"/>
      </w:rPr>
    </w:lvl>
  </w:abstractNum>
  <w:abstractNum w:abstractNumId="370029">
    <w:lvl>
      <w:start w:val="5"/>
      <w:numFmt w:val="decimal"/>
      <w:suff w:val="tab"/>
      <w:lvlText w:val="%1."/>
      <w:rPr>
        <w:color w:val="3370ff"/>
      </w:rPr>
    </w:lvl>
  </w:abstractNum>
  <w:abstractNum w:abstractNumId="370030">
    <w:lvl>
      <w:start w:val="6"/>
      <w:numFmt w:val="decimal"/>
      <w:suff w:val="tab"/>
      <w:lvlText w:val="%1."/>
      <w:rPr>
        <w:color w:val="3370ff"/>
      </w:rPr>
    </w:lvl>
  </w:abstractNum>
  <w:abstractNum w:abstractNumId="370031">
    <w:lvl>
      <w:numFmt w:val="bullet"/>
      <w:suff w:val="tab"/>
      <w:lvlText w:val="•"/>
      <w:rPr>
        <w:color w:val="3370ff"/>
      </w:rPr>
    </w:lvl>
  </w:abstractNum>
  <w:abstractNum w:abstractNumId="370032">
    <w:lvl>
      <w:numFmt w:val="bullet"/>
      <w:suff w:val="tab"/>
      <w:lvlText w:val="•"/>
      <w:rPr>
        <w:color w:val="3370ff"/>
      </w:rPr>
    </w:lvl>
  </w:abstractNum>
  <w:abstractNum w:abstractNumId="370033">
    <w:lvl>
      <w:numFmt w:val="bullet"/>
      <w:suff w:val="tab"/>
      <w:lvlText w:val="•"/>
      <w:rPr>
        <w:color w:val="3370ff"/>
      </w:rPr>
    </w:lvl>
  </w:abstractNum>
  <w:abstractNum w:abstractNumId="370034">
    <w:lvl>
      <w:numFmt w:val="bullet"/>
      <w:suff w:val="tab"/>
      <w:lvlText w:val="•"/>
      <w:rPr>
        <w:color w:val="3370ff"/>
      </w:rPr>
    </w:lvl>
  </w:abstractNum>
  <w:abstractNum w:abstractNumId="370035">
    <w:lvl>
      <w:numFmt w:val="bullet"/>
      <w:suff w:val="tab"/>
      <w:lvlText w:val="•"/>
      <w:rPr>
        <w:color w:val="3370ff"/>
      </w:rPr>
    </w:lvl>
  </w:abstractNum>
  <w:abstractNum w:abstractNumId="370036">
    <w:lvl>
      <w:numFmt w:val="bullet"/>
      <w:suff w:val="tab"/>
      <w:lvlText w:val="•"/>
      <w:rPr>
        <w:color w:val="3370ff"/>
      </w:rPr>
    </w:lvl>
  </w:abstractNum>
  <w:abstractNum w:abstractNumId="370037">
    <w:lvl>
      <w:numFmt w:val="bullet"/>
      <w:suff w:val="tab"/>
      <w:lvlText w:val="￮"/>
      <w:rPr>
        <w:color w:val="3370ff"/>
      </w:rPr>
    </w:lvl>
  </w:abstractNum>
  <w:abstractNum w:abstractNumId="370038">
    <w:lvl>
      <w:numFmt w:val="bullet"/>
      <w:suff w:val="tab"/>
      <w:lvlText w:val="￮"/>
      <w:rPr>
        <w:color w:val="3370ff"/>
      </w:rPr>
    </w:lvl>
  </w:abstractNum>
  <w:abstractNum w:abstractNumId="370039">
    <w:lvl>
      <w:numFmt w:val="bullet"/>
      <w:suff w:val="tab"/>
      <w:lvlText w:val="￮"/>
      <w:rPr>
        <w:color w:val="3370ff"/>
      </w:rPr>
    </w:lvl>
  </w:abstractNum>
  <w:abstractNum w:abstractNumId="370040">
    <w:lvl>
      <w:numFmt w:val="bullet"/>
      <w:suff w:val="tab"/>
      <w:lvlText w:val="￮"/>
      <w:rPr>
        <w:color w:val="3370ff"/>
      </w:rPr>
    </w:lvl>
  </w:abstractNum>
  <w:abstractNum w:abstractNumId="370041">
    <w:lvl>
      <w:numFmt w:val="bullet"/>
      <w:suff w:val="tab"/>
      <w:lvlText w:val="•"/>
      <w:rPr>
        <w:color w:val="3370ff"/>
      </w:rPr>
    </w:lvl>
  </w:abstractNum>
  <w:abstractNum w:abstractNumId="370042">
    <w:lvl>
      <w:numFmt w:val="bullet"/>
      <w:suff w:val="tab"/>
      <w:lvlText w:val="•"/>
      <w:rPr>
        <w:color w:val="3370ff"/>
      </w:rPr>
    </w:lvl>
  </w:abstractNum>
  <w:abstractNum w:abstractNumId="370043">
    <w:lvl>
      <w:numFmt w:val="bullet"/>
      <w:suff w:val="tab"/>
      <w:lvlText w:val="•"/>
      <w:rPr>
        <w:color w:val="3370ff"/>
      </w:rPr>
    </w:lvl>
  </w:abstractNum>
  <w:abstractNum w:abstractNumId="370044">
    <w:lvl>
      <w:numFmt w:val="bullet"/>
      <w:suff w:val="tab"/>
      <w:lvlText w:val="￮"/>
      <w:rPr>
        <w:color w:val="3370ff"/>
      </w:rPr>
    </w:lvl>
  </w:abstractNum>
  <w:abstractNum w:abstractNumId="370045">
    <w:lvl>
      <w:numFmt w:val="bullet"/>
      <w:suff w:val="tab"/>
      <w:lvlText w:val="￮"/>
      <w:rPr>
        <w:color w:val="3370ff"/>
      </w:rPr>
    </w:lvl>
  </w:abstractNum>
  <w:abstractNum w:abstractNumId="370046">
    <w:lvl>
      <w:numFmt w:val="bullet"/>
      <w:suff w:val="tab"/>
      <w:lvlText w:val="•"/>
      <w:rPr>
        <w:color w:val="3370ff"/>
      </w:rPr>
    </w:lvl>
  </w:abstractNum>
  <w:abstractNum w:abstractNumId="370047">
    <w:lvl>
      <w:numFmt w:val="bullet"/>
      <w:suff w:val="tab"/>
      <w:lvlText w:val="•"/>
      <w:rPr>
        <w:color w:val="3370ff"/>
      </w:rPr>
    </w:lvl>
  </w:abstractNum>
  <w:abstractNum w:abstractNumId="370048">
    <w:lvl>
      <w:numFmt w:val="bullet"/>
      <w:suff w:val="tab"/>
      <w:lvlText w:val="•"/>
      <w:rPr>
        <w:color w:val="3370ff"/>
      </w:rPr>
    </w:lvl>
  </w:abstractNum>
  <w:abstractNum w:abstractNumId="370049">
    <w:lvl>
      <w:numFmt w:val="bullet"/>
      <w:suff w:val="tab"/>
      <w:lvlText w:val="￮"/>
      <w:rPr>
        <w:color w:val="3370ff"/>
      </w:rPr>
    </w:lvl>
  </w:abstractNum>
  <w:abstractNum w:abstractNumId="370050">
    <w:lvl>
      <w:numFmt w:val="bullet"/>
      <w:suff w:val="tab"/>
      <w:lvlText w:val="￮"/>
      <w:rPr>
        <w:color w:val="3370ff"/>
      </w:rPr>
    </w:lvl>
  </w:abstractNum>
  <w:abstractNum w:abstractNumId="370051">
    <w:lvl>
      <w:numFmt w:val="bullet"/>
      <w:suff w:val="tab"/>
      <w:lvlText w:val="￮"/>
      <w:rPr>
        <w:color w:val="3370ff"/>
      </w:rPr>
    </w:lvl>
  </w:abstractNum>
  <w:abstractNum w:abstractNumId="370052">
    <w:lvl>
      <w:numFmt w:val="bullet"/>
      <w:suff w:val="tab"/>
      <w:lvlText w:val="￮"/>
      <w:rPr>
        <w:color w:val="3370ff"/>
      </w:rPr>
    </w:lvl>
  </w:abstractNum>
  <w:abstractNum w:abstractNumId="370053">
    <w:lvl>
      <w:numFmt w:val="bullet"/>
      <w:suff w:val="tab"/>
      <w:lvlText w:val="•"/>
      <w:rPr>
        <w:color w:val="3370ff"/>
      </w:rPr>
    </w:lvl>
  </w:abstractNum>
  <w:abstractNum w:abstractNumId="370054">
    <w:lvl>
      <w:numFmt w:val="bullet"/>
      <w:suff w:val="tab"/>
      <w:lvlText w:val="•"/>
      <w:rPr>
        <w:color w:val="3370ff"/>
      </w:rPr>
    </w:lvl>
  </w:abstractNum>
  <w:abstractNum w:abstractNumId="370055">
    <w:lvl>
      <w:numFmt w:val="bullet"/>
      <w:suff w:val="tab"/>
      <w:lvlText w:val="•"/>
      <w:rPr>
        <w:color w:val="3370ff"/>
      </w:rPr>
    </w:lvl>
  </w:abstractNum>
  <w:abstractNum w:abstractNumId="370056">
    <w:lvl>
      <w:numFmt w:val="bullet"/>
      <w:suff w:val="tab"/>
      <w:lvlText w:val="￮"/>
      <w:rPr>
        <w:color w:val="3370ff"/>
      </w:rPr>
    </w:lvl>
  </w:abstractNum>
  <w:abstractNum w:abstractNumId="370057">
    <w:lvl>
      <w:numFmt w:val="bullet"/>
      <w:suff w:val="tab"/>
      <w:lvlText w:val="￮"/>
      <w:rPr>
        <w:color w:val="3370ff"/>
      </w:rPr>
    </w:lvl>
  </w:abstractNum>
  <w:abstractNum w:abstractNumId="370058">
    <w:lvl>
      <w:numFmt w:val="bullet"/>
      <w:suff w:val="tab"/>
      <w:lvlText w:val="￮"/>
      <w:rPr>
        <w:color w:val="3370ff"/>
      </w:rPr>
    </w:lvl>
  </w:abstractNum>
  <w:abstractNum w:abstractNumId="370059">
    <w:lvl>
      <w:numFmt w:val="bullet"/>
      <w:suff w:val="tab"/>
      <w:lvlText w:val="￮"/>
      <w:rPr>
        <w:color w:val="3370ff"/>
      </w:rPr>
    </w:lvl>
  </w:abstractNum>
  <w:abstractNum w:abstractNumId="370060">
    <w:lvl>
      <w:numFmt w:val="bullet"/>
      <w:suff w:val="tab"/>
      <w:lvlText w:val="•"/>
      <w:rPr>
        <w:color w:val="3370ff"/>
      </w:rPr>
    </w:lvl>
  </w:abstractNum>
  <w:abstractNum w:abstractNumId="370061">
    <w:lvl>
      <w:numFmt w:val="bullet"/>
      <w:suff w:val="tab"/>
      <w:lvlText w:val="•"/>
      <w:rPr>
        <w:color w:val="3370ff"/>
      </w:rPr>
    </w:lvl>
  </w:abstractNum>
  <w:abstractNum w:abstractNumId="370062">
    <w:lvl>
      <w:numFmt w:val="bullet"/>
      <w:suff w:val="tab"/>
      <w:lvlText w:val="•"/>
      <w:rPr>
        <w:color w:val="3370ff"/>
      </w:rPr>
    </w:lvl>
  </w:abstractNum>
  <w:abstractNum w:abstractNumId="370063">
    <w:lvl>
      <w:numFmt w:val="bullet"/>
      <w:suff w:val="tab"/>
      <w:lvlText w:val="•"/>
      <w:rPr>
        <w:color w:val="3370ff"/>
      </w:rPr>
    </w:lvl>
  </w:abstractNum>
  <w:abstractNum w:abstractNumId="370064">
    <w:lvl>
      <w:numFmt w:val="bullet"/>
      <w:suff w:val="tab"/>
      <w:lvlText w:val="•"/>
      <w:rPr>
        <w:color w:val="3370ff"/>
      </w:rPr>
    </w:lvl>
  </w:abstractNum>
  <w:abstractNum w:abstractNumId="370065">
    <w:lvl>
      <w:numFmt w:val="bullet"/>
      <w:suff w:val="tab"/>
      <w:lvlText w:val="•"/>
      <w:rPr>
        <w:color w:val="3370ff"/>
      </w:rPr>
    </w:lvl>
  </w:abstractNum>
  <w:abstractNum w:abstractNumId="370066">
    <w:lvl>
      <w:numFmt w:val="bullet"/>
      <w:suff w:val="tab"/>
      <w:lvlText w:val="•"/>
      <w:rPr>
        <w:color w:val="3370ff"/>
      </w:rPr>
    </w:lvl>
  </w:abstractNum>
  <w:abstractNum w:abstractNumId="370067">
    <w:lvl>
      <w:numFmt w:val="bullet"/>
      <w:suff w:val="tab"/>
      <w:lvlText w:val="•"/>
      <w:rPr>
        <w:color w:val="3370ff"/>
      </w:rPr>
    </w:lvl>
  </w:abstractNum>
  <w:abstractNum w:abstractNumId="370068">
    <w:lvl>
      <w:numFmt w:val="bullet"/>
      <w:suff w:val="tab"/>
      <w:lvlText w:val="•"/>
      <w:rPr>
        <w:color w:val="3370ff"/>
      </w:rPr>
    </w:lvl>
  </w:abstractNum>
  <w:abstractNum w:abstractNumId="370069">
    <w:lvl>
      <w:numFmt w:val="bullet"/>
      <w:suff w:val="tab"/>
      <w:lvlText w:val="•"/>
      <w:rPr>
        <w:color w:val="3370ff"/>
      </w:rPr>
    </w:lvl>
  </w:abstractNum>
  <w:abstractNum w:abstractNumId="370070">
    <w:lvl>
      <w:numFmt w:val="bullet"/>
      <w:suff w:val="tab"/>
      <w:lvlText w:val="•"/>
      <w:rPr>
        <w:color w:val="3370ff"/>
      </w:rPr>
    </w:lvl>
  </w:abstractNum>
  <w:abstractNum w:abstractNumId="370071">
    <w:lvl>
      <w:numFmt w:val="bullet"/>
      <w:suff w:val="tab"/>
      <w:lvlText w:val="•"/>
      <w:rPr>
        <w:color w:val="3370ff"/>
      </w:rPr>
    </w:lvl>
  </w:abstractNum>
  <w:abstractNum w:abstractNumId="370072">
    <w:lvl>
      <w:start w:val="1"/>
      <w:numFmt w:val="decimal"/>
      <w:suff w:val="tab"/>
      <w:lvlText w:val="%1."/>
      <w:rPr>
        <w:color w:val="3370ff"/>
      </w:rPr>
    </w:lvl>
  </w:abstractNum>
  <w:abstractNum w:abstractNumId="370073">
    <w:lvl>
      <w:start w:val="2"/>
      <w:numFmt w:val="decimal"/>
      <w:suff w:val="tab"/>
      <w:lvlText w:val="%1."/>
      <w:rPr>
        <w:color w:val="3370ff"/>
      </w:rPr>
    </w:lvl>
  </w:abstractNum>
  <w:abstractNum w:abstractNumId="370074">
    <w:lvl>
      <w:numFmt w:val="bullet"/>
      <w:suff w:val="tab"/>
      <w:lvlText w:val="￮"/>
      <w:rPr>
        <w:color w:val="3370ff"/>
      </w:rPr>
    </w:lvl>
  </w:abstractNum>
  <w:abstractNum w:abstractNumId="370075">
    <w:lvl>
      <w:numFmt w:val="bullet"/>
      <w:suff w:val="tab"/>
      <w:lvlText w:val="￮"/>
      <w:rPr>
        <w:color w:val="3370ff"/>
      </w:rPr>
    </w:lvl>
  </w:abstractNum>
  <w:abstractNum w:abstractNumId="370076">
    <w:lvl>
      <w:numFmt w:val="bullet"/>
      <w:suff w:val="tab"/>
      <w:lvlText w:val="￮"/>
      <w:rPr>
        <w:color w:val="3370ff"/>
      </w:rPr>
    </w:lvl>
  </w:abstractNum>
  <w:abstractNum w:abstractNumId="370077">
    <w:lvl>
      <w:numFmt w:val="bullet"/>
      <w:suff w:val="tab"/>
      <w:lvlText w:val="•"/>
      <w:rPr>
        <w:color w:val="3370ff"/>
      </w:rPr>
    </w:lvl>
  </w:abstractNum>
  <w:abstractNum w:abstractNumId="370078">
    <w:lvl>
      <w:numFmt w:val="bullet"/>
      <w:suff w:val="tab"/>
      <w:lvlText w:val="•"/>
      <w:rPr>
        <w:color w:val="3370ff"/>
      </w:rPr>
    </w:lvl>
  </w:abstractNum>
  <w:abstractNum w:abstractNumId="370079">
    <w:lvl>
      <w:numFmt w:val="bullet"/>
      <w:suff w:val="tab"/>
      <w:lvlText w:val="•"/>
      <w:rPr>
        <w:color w:val="3370ff"/>
      </w:rPr>
    </w:lvl>
  </w:abstractNum>
  <w:abstractNum w:abstractNumId="370080">
    <w:lvl>
      <w:start w:val="1"/>
      <w:numFmt w:val="decimal"/>
      <w:suff w:val="tab"/>
      <w:lvlText w:val="%1."/>
      <w:rPr>
        <w:color w:val="3370ff"/>
      </w:rPr>
    </w:lvl>
  </w:abstractNum>
  <w:abstractNum w:abstractNumId="370081">
    <w:lvl>
      <w:start w:val="2"/>
      <w:numFmt w:val="decimal"/>
      <w:suff w:val="tab"/>
      <w:lvlText w:val="%1."/>
      <w:rPr>
        <w:color w:val="3370ff"/>
      </w:rPr>
    </w:lvl>
  </w:abstractNum>
  <w:num w:numId="1">
    <w:abstractNumId w:val="369931"/>
  </w:num>
  <w:num w:numId="2">
    <w:abstractNumId w:val="369932"/>
  </w:num>
  <w:num w:numId="3">
    <w:abstractNumId w:val="369933"/>
  </w:num>
  <w:num w:numId="4">
    <w:abstractNumId w:val="369934"/>
  </w:num>
  <w:num w:numId="5">
    <w:abstractNumId w:val="369935"/>
  </w:num>
  <w:num w:numId="6">
    <w:abstractNumId w:val="369936"/>
  </w:num>
  <w:num w:numId="7">
    <w:abstractNumId w:val="369937"/>
  </w:num>
  <w:num w:numId="8">
    <w:abstractNumId w:val="369938"/>
  </w:num>
  <w:num w:numId="9">
    <w:abstractNumId w:val="369939"/>
  </w:num>
  <w:num w:numId="10">
    <w:abstractNumId w:val="369940"/>
  </w:num>
  <w:num w:numId="11">
    <w:abstractNumId w:val="369941"/>
  </w:num>
  <w:num w:numId="12">
    <w:abstractNumId w:val="369942"/>
  </w:num>
  <w:num w:numId="13">
    <w:abstractNumId w:val="369943"/>
  </w:num>
  <w:num w:numId="14">
    <w:abstractNumId w:val="369944"/>
  </w:num>
  <w:num w:numId="15">
    <w:abstractNumId w:val="369945"/>
  </w:num>
  <w:num w:numId="16">
    <w:abstractNumId w:val="369946"/>
  </w:num>
  <w:num w:numId="17">
    <w:abstractNumId w:val="369947"/>
  </w:num>
  <w:num w:numId="18">
    <w:abstractNumId w:val="369948"/>
  </w:num>
  <w:num w:numId="19">
    <w:abstractNumId w:val="369949"/>
  </w:num>
  <w:num w:numId="20">
    <w:abstractNumId w:val="369950"/>
  </w:num>
  <w:num w:numId="21">
    <w:abstractNumId w:val="369951"/>
  </w:num>
  <w:num w:numId="22">
    <w:abstractNumId w:val="369952"/>
  </w:num>
  <w:num w:numId="23">
    <w:abstractNumId w:val="369953"/>
  </w:num>
  <w:num w:numId="24">
    <w:abstractNumId w:val="369954"/>
  </w:num>
  <w:num w:numId="25">
    <w:abstractNumId w:val="369955"/>
  </w:num>
  <w:num w:numId="26">
    <w:abstractNumId w:val="369956"/>
  </w:num>
  <w:num w:numId="27">
    <w:abstractNumId w:val="369957"/>
  </w:num>
  <w:num w:numId="28">
    <w:abstractNumId w:val="369958"/>
  </w:num>
  <w:num w:numId="29">
    <w:abstractNumId w:val="369959"/>
  </w:num>
  <w:num w:numId="30">
    <w:abstractNumId w:val="369960"/>
  </w:num>
  <w:num w:numId="31">
    <w:abstractNumId w:val="369961"/>
  </w:num>
  <w:num w:numId="32">
    <w:abstractNumId w:val="369962"/>
  </w:num>
  <w:num w:numId="33">
    <w:abstractNumId w:val="369963"/>
  </w:num>
  <w:num w:numId="34">
    <w:abstractNumId w:val="369964"/>
  </w:num>
  <w:num w:numId="35">
    <w:abstractNumId w:val="369965"/>
  </w:num>
  <w:num w:numId="36">
    <w:abstractNumId w:val="369966"/>
  </w:num>
  <w:num w:numId="37">
    <w:abstractNumId w:val="369967"/>
  </w:num>
  <w:num w:numId="38">
    <w:abstractNumId w:val="369968"/>
  </w:num>
  <w:num w:numId="39">
    <w:abstractNumId w:val="369969"/>
  </w:num>
  <w:num w:numId="40">
    <w:abstractNumId w:val="369970"/>
  </w:num>
  <w:num w:numId="41">
    <w:abstractNumId w:val="369971"/>
  </w:num>
  <w:num w:numId="42">
    <w:abstractNumId w:val="369972"/>
  </w:num>
  <w:num w:numId="43">
    <w:abstractNumId w:val="369973"/>
  </w:num>
  <w:num w:numId="44">
    <w:abstractNumId w:val="369974"/>
  </w:num>
  <w:num w:numId="45">
    <w:abstractNumId w:val="369975"/>
  </w:num>
  <w:num w:numId="46">
    <w:abstractNumId w:val="369976"/>
  </w:num>
  <w:num w:numId="47">
    <w:abstractNumId w:val="369977"/>
  </w:num>
  <w:num w:numId="48">
    <w:abstractNumId w:val="369978"/>
  </w:num>
  <w:num w:numId="49">
    <w:abstractNumId w:val="369979"/>
  </w:num>
  <w:num w:numId="50">
    <w:abstractNumId w:val="369980"/>
  </w:num>
  <w:num w:numId="51">
    <w:abstractNumId w:val="369981"/>
  </w:num>
  <w:num w:numId="52">
    <w:abstractNumId w:val="369982"/>
  </w:num>
  <w:num w:numId="53">
    <w:abstractNumId w:val="369983"/>
  </w:num>
  <w:num w:numId="54">
    <w:abstractNumId w:val="369984"/>
  </w:num>
  <w:num w:numId="55">
    <w:abstractNumId w:val="369985"/>
  </w:num>
  <w:num w:numId="56">
    <w:abstractNumId w:val="369986"/>
  </w:num>
  <w:num w:numId="57">
    <w:abstractNumId w:val="369987"/>
  </w:num>
  <w:num w:numId="58">
    <w:abstractNumId w:val="369988"/>
  </w:num>
  <w:num w:numId="59">
    <w:abstractNumId w:val="369989"/>
  </w:num>
  <w:num w:numId="60">
    <w:abstractNumId w:val="369990"/>
  </w:num>
  <w:num w:numId="61">
    <w:abstractNumId w:val="369991"/>
  </w:num>
  <w:num w:numId="62">
    <w:abstractNumId w:val="369992"/>
  </w:num>
  <w:num w:numId="63">
    <w:abstractNumId w:val="369993"/>
  </w:num>
  <w:num w:numId="64">
    <w:abstractNumId w:val="369994"/>
  </w:num>
  <w:num w:numId="65">
    <w:abstractNumId w:val="369995"/>
  </w:num>
  <w:num w:numId="66">
    <w:abstractNumId w:val="369996"/>
  </w:num>
  <w:num w:numId="67">
    <w:abstractNumId w:val="369997"/>
  </w:num>
  <w:num w:numId="68">
    <w:abstractNumId w:val="369998"/>
  </w:num>
  <w:num w:numId="69">
    <w:abstractNumId w:val="369999"/>
  </w:num>
  <w:num w:numId="70">
    <w:abstractNumId w:val="370000"/>
  </w:num>
  <w:num w:numId="71">
    <w:abstractNumId w:val="370001"/>
  </w:num>
  <w:num w:numId="72">
    <w:abstractNumId w:val="370002"/>
  </w:num>
  <w:num w:numId="73">
    <w:abstractNumId w:val="370003"/>
  </w:num>
  <w:num w:numId="74">
    <w:abstractNumId w:val="370004"/>
  </w:num>
  <w:num w:numId="75">
    <w:abstractNumId w:val="370005"/>
  </w:num>
  <w:num w:numId="76">
    <w:abstractNumId w:val="370006"/>
  </w:num>
  <w:num w:numId="77">
    <w:abstractNumId w:val="370007"/>
  </w:num>
  <w:num w:numId="78">
    <w:abstractNumId w:val="370008"/>
  </w:num>
  <w:num w:numId="79">
    <w:abstractNumId w:val="370009"/>
  </w:num>
  <w:num w:numId="80">
    <w:abstractNumId w:val="370010"/>
  </w:num>
  <w:num w:numId="81">
    <w:abstractNumId w:val="370011"/>
  </w:num>
  <w:num w:numId="82">
    <w:abstractNumId w:val="370012"/>
  </w:num>
  <w:num w:numId="83">
    <w:abstractNumId w:val="370013"/>
  </w:num>
  <w:num w:numId="84">
    <w:abstractNumId w:val="370014"/>
  </w:num>
  <w:num w:numId="85">
    <w:abstractNumId w:val="370015"/>
  </w:num>
  <w:num w:numId="86">
    <w:abstractNumId w:val="370016"/>
  </w:num>
  <w:num w:numId="87">
    <w:abstractNumId w:val="370017"/>
  </w:num>
  <w:num w:numId="88">
    <w:abstractNumId w:val="370018"/>
  </w:num>
  <w:num w:numId="89">
    <w:abstractNumId w:val="370019"/>
  </w:num>
  <w:num w:numId="90">
    <w:abstractNumId w:val="370020"/>
  </w:num>
  <w:num w:numId="91">
    <w:abstractNumId w:val="370021"/>
  </w:num>
  <w:num w:numId="92">
    <w:abstractNumId w:val="370022"/>
  </w:num>
  <w:num w:numId="93">
    <w:abstractNumId w:val="370023"/>
  </w:num>
  <w:num w:numId="94">
    <w:abstractNumId w:val="370024"/>
  </w:num>
  <w:num w:numId="95">
    <w:abstractNumId w:val="370025"/>
  </w:num>
  <w:num w:numId="96">
    <w:abstractNumId w:val="370026"/>
  </w:num>
  <w:num w:numId="97">
    <w:abstractNumId w:val="370027"/>
  </w:num>
  <w:num w:numId="98">
    <w:abstractNumId w:val="370028"/>
  </w:num>
  <w:num w:numId="99">
    <w:abstractNumId w:val="370029"/>
  </w:num>
  <w:num w:numId="100">
    <w:abstractNumId w:val="370030"/>
  </w:num>
  <w:num w:numId="101">
    <w:abstractNumId w:val="370031"/>
  </w:num>
  <w:num w:numId="102">
    <w:abstractNumId w:val="370032"/>
  </w:num>
  <w:num w:numId="103">
    <w:abstractNumId w:val="370033"/>
  </w:num>
  <w:num w:numId="104">
    <w:abstractNumId w:val="370034"/>
  </w:num>
  <w:num w:numId="105">
    <w:abstractNumId w:val="370035"/>
  </w:num>
  <w:num w:numId="106">
    <w:abstractNumId w:val="370036"/>
  </w:num>
  <w:num w:numId="107">
    <w:abstractNumId w:val="370037"/>
  </w:num>
  <w:num w:numId="108">
    <w:abstractNumId w:val="370038"/>
  </w:num>
  <w:num w:numId="109">
    <w:abstractNumId w:val="370039"/>
  </w:num>
  <w:num w:numId="110">
    <w:abstractNumId w:val="370040"/>
  </w:num>
  <w:num w:numId="111">
    <w:abstractNumId w:val="370041"/>
  </w:num>
  <w:num w:numId="112">
    <w:abstractNumId w:val="370042"/>
  </w:num>
  <w:num w:numId="113">
    <w:abstractNumId w:val="370043"/>
  </w:num>
  <w:num w:numId="114">
    <w:abstractNumId w:val="370044"/>
  </w:num>
  <w:num w:numId="115">
    <w:abstractNumId w:val="370045"/>
  </w:num>
  <w:num w:numId="116">
    <w:abstractNumId w:val="370046"/>
  </w:num>
  <w:num w:numId="117">
    <w:abstractNumId w:val="370047"/>
  </w:num>
  <w:num w:numId="118">
    <w:abstractNumId w:val="370048"/>
  </w:num>
  <w:num w:numId="119">
    <w:abstractNumId w:val="370049"/>
  </w:num>
  <w:num w:numId="120">
    <w:abstractNumId w:val="370050"/>
  </w:num>
  <w:num w:numId="121">
    <w:abstractNumId w:val="370051"/>
  </w:num>
  <w:num w:numId="122">
    <w:abstractNumId w:val="370052"/>
  </w:num>
  <w:num w:numId="123">
    <w:abstractNumId w:val="370053"/>
  </w:num>
  <w:num w:numId="124">
    <w:abstractNumId w:val="370054"/>
  </w:num>
  <w:num w:numId="125">
    <w:abstractNumId w:val="370055"/>
  </w:num>
  <w:num w:numId="126">
    <w:abstractNumId w:val="370056"/>
  </w:num>
  <w:num w:numId="127">
    <w:abstractNumId w:val="370057"/>
  </w:num>
  <w:num w:numId="128">
    <w:abstractNumId w:val="370058"/>
  </w:num>
  <w:num w:numId="129">
    <w:abstractNumId w:val="370059"/>
  </w:num>
  <w:num w:numId="130">
    <w:abstractNumId w:val="370060"/>
  </w:num>
  <w:num w:numId="131">
    <w:abstractNumId w:val="370061"/>
  </w:num>
  <w:num w:numId="132">
    <w:abstractNumId w:val="370062"/>
  </w:num>
  <w:num w:numId="133">
    <w:abstractNumId w:val="370063"/>
  </w:num>
  <w:num w:numId="134">
    <w:abstractNumId w:val="370064"/>
  </w:num>
  <w:num w:numId="135">
    <w:abstractNumId w:val="370065"/>
  </w:num>
  <w:num w:numId="136">
    <w:abstractNumId w:val="370066"/>
  </w:num>
  <w:num w:numId="137">
    <w:abstractNumId w:val="370067"/>
  </w:num>
  <w:num w:numId="138">
    <w:abstractNumId w:val="370068"/>
  </w:num>
  <w:num w:numId="139">
    <w:abstractNumId w:val="370069"/>
  </w:num>
  <w:num w:numId="140">
    <w:abstractNumId w:val="370070"/>
  </w:num>
  <w:num w:numId="141">
    <w:abstractNumId w:val="370071"/>
  </w:num>
  <w:num w:numId="142">
    <w:abstractNumId w:val="370072"/>
  </w:num>
  <w:num w:numId="143">
    <w:abstractNumId w:val="370073"/>
  </w:num>
  <w:num w:numId="144">
    <w:abstractNumId w:val="370074"/>
  </w:num>
  <w:num w:numId="145">
    <w:abstractNumId w:val="370075"/>
  </w:num>
  <w:num w:numId="146">
    <w:abstractNumId w:val="370076"/>
  </w:num>
  <w:num w:numId="147">
    <w:abstractNumId w:val="370077"/>
  </w:num>
  <w:num w:numId="148">
    <w:abstractNumId w:val="370078"/>
  </w:num>
  <w:num w:numId="149">
    <w:abstractNumId w:val="370079"/>
  </w:num>
  <w:num w:numId="150">
    <w:abstractNumId w:val="370080"/>
  </w:num>
  <w:num w:numId="151">
    <w:abstractNumId w:val="370081"/>
  </w:num>
</w:numbering>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Relationships xmlns="http://schemas.openxmlformats.org/package/2006/relationships"><Relationship Id="rId1" Target="settings.xml" Type="http://schemas.openxmlformats.org/officeDocument/2006/relationships/settings"/><Relationship Id="rId10" Target="media/image5.png" Type="http://schemas.openxmlformats.org/officeDocument/2006/relationships/image"/><Relationship Id="rId11" Target="media/image6.png" Type="http://schemas.openxmlformats.org/officeDocument/2006/relationships/image"/><Relationship Id="rId12" Target="media/image7.png" Type="http://schemas.openxmlformats.org/officeDocument/2006/relationships/image"/><Relationship Id="rId13" Target="embeddings/Microsoft_Excel_Worksheet2.xlsx" Type="http://schemas.openxmlformats.org/officeDocument/2006/relationships/package"/><Relationship Id="rId14" Target="media/image8.png" Type="http://schemas.openxmlformats.org/officeDocument/2006/relationships/image"/><Relationship Id="rId15" Target="embeddings/Microsoft_Excel_Worksheet3.xlsx" Type="http://schemas.openxmlformats.org/officeDocument/2006/relationships/package"/><Relationship Id="rId16" Target="media/image9.png" Type="http://schemas.openxmlformats.org/officeDocument/2006/relationships/image"/><Relationship Id="rId17" Target="embeddings/Microsoft_Excel_Worksheet4.xlsx" Type="http://schemas.openxmlformats.org/officeDocument/2006/relationships/package"/><Relationship Id="rId18" Target="media/image10.png" Type="http://schemas.openxmlformats.org/officeDocument/2006/relationships/image"/><Relationship Id="rId19" Target="embeddings/Microsoft_Excel_Worksheet5.xlsx" Type="http://schemas.openxmlformats.org/officeDocument/2006/relationships/package"/><Relationship Id="rId2" Target="styles.xml" Type="http://schemas.openxmlformats.org/officeDocument/2006/relationships/styles"/><Relationship Id="rId20" Target="media/image11.png" Type="http://schemas.openxmlformats.org/officeDocument/2006/relationships/image"/><Relationship Id="rId21" Target="embeddings/Microsoft_Excel_Worksheet6.xlsx" Type="http://schemas.openxmlformats.org/officeDocument/2006/relationships/package"/><Relationship Id="rId22" Target="media/image12.png" Type="http://schemas.openxmlformats.org/officeDocument/2006/relationships/image"/><Relationship Id="rId23" Target="embeddings/Microsoft_Excel_Worksheet7.xlsx" Type="http://schemas.openxmlformats.org/officeDocument/2006/relationships/package"/><Relationship Id="rId24" Target="media/image13.png" Type="http://schemas.openxmlformats.org/officeDocument/2006/relationships/image"/><Relationship Id="rId25" Target="embeddings/Microsoft_Excel_Worksheet8.xlsx" Type="http://schemas.openxmlformats.org/officeDocument/2006/relationships/package"/><Relationship Id="rId26" Target="media/image14.png" Type="http://schemas.openxmlformats.org/officeDocument/2006/relationships/image"/><Relationship Id="rId27" Target="header1.xml" Type="http://schemas.openxmlformats.org/officeDocument/2006/relationships/header"/><Relationship Id="rId3" Target="footer1.xml" Type="http://schemas.openxmlformats.org/officeDocument/2006/relationships/footer"/><Relationship Id="rId4" Target="media/image1.png" Type="http://schemas.openxmlformats.org/officeDocument/2006/relationships/image"/><Relationship Id="rId5" Target="numbering.xml" Type="http://schemas.openxmlformats.org/officeDocument/2006/relationships/numbering"/><Relationship Id="rId6" Target="media/image2.png" Type="http://schemas.openxmlformats.org/officeDocument/2006/relationships/image"/><Relationship Id="rId7" Target="embeddings/Microsoft_Excel_Worksheet1.xlsx" Type="http://schemas.openxmlformats.org/officeDocument/2006/relationships/package"/><Relationship Id="rId8" Target="media/image3.png" Type="http://schemas.openxmlformats.org/officeDocument/2006/relationships/image"/><Relationship Id="rId9" Target="media/image4.jpeg" Type="http://schemas.openxmlformats.org/officeDocument/2006/relationships/image"/></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2025-09-23T06:35:12Z</dcterms:created>
  <dc:creator>Apache POI</dc:creator>
</cp:coreProperties>
</file>